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rFonts w:ascii="Calibri" w:cs="Calibri" w:eastAsia="Calibri" w:hAnsi="Calibri"/>
          <w:b/>
          <w:bCs/>
          <w:color w:val="002855"/>
          <w:sz w:val="40"/>
          <w:szCs w:val="40"/>
        </w:rPr>
        <w:t xml:space="preserve">FINAL LEGAL DUE DILIGENCE</w:t>
      </w:r>
    </w:p>
    <w:p>
      <w:pPr>
        <w:spacing w:after="400"/>
        <w:jc w:val="center"/>
      </w:pPr>
      <w:r>
        <w:rPr>
          <w:rFonts w:ascii="Calibri" w:cs="Calibri" w:eastAsia="Calibri" w:hAnsi="Calibri"/>
          <w:color w:val="444444"/>
          <w:sz w:val="28"/>
          <w:szCs w:val="28"/>
        </w:rPr>
        <w:t xml:space="preserve">Second Legal Opinion</w:t>
      </w:r>
    </w:p>
    <w:p>
      <w:pPr>
        <w:pBdr>
          <w:bottom w:val="thick" w:color="B8860B" w:sz="12"/>
        </w:pBdr>
        <w:spacing w:after="400"/>
      </w:pPr>
    </w:p>
    <w:p>
      <w:pPr>
        <w:spacing w:after="120"/>
        <w:jc w:val="center"/>
      </w:pPr>
      <w:r>
        <w:rPr>
          <w:rFonts w:ascii="Calibri" w:cs="Calibri" w:eastAsia="Calibri" w:hAnsi="Calibri"/>
          <w:b/>
          <w:bCs/>
          <w:color w:val="002855"/>
          <w:sz w:val="36"/>
          <w:szCs w:val="36"/>
        </w:rPr>
        <w:t xml:space="preserve">Sport-Club Metropolis 25 Berlin e.V.</w:t>
      </w:r>
    </w:p>
    <w:p>
      <w:pPr>
        <w:spacing w:after="600"/>
        <w:jc w:val="center"/>
      </w:pPr>
      <w:r>
        <w:rPr>
          <w:rFonts w:ascii="Calibri" w:cs="Calibri" w:eastAsia="Calibri" w:hAnsi="Calibri"/>
          <w:color w:val="555555"/>
          <w:sz w:val="26"/>
          <w:szCs w:val="26"/>
        </w:rPr>
        <w:t xml:space="preserve">Satzung Version 5.0 — Neufassung 2026</w:t>
      </w:r>
    </w:p>
    <w:tbl>
      <w:tblPr>
        <w:tblpPr w:horzAnchor="margin" w:vertAnchor="text"/>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6000"/>
            <w:shd w:fill="002855" w:val="clear"/>
            <w:tcMar>
              <w:top w:type="dxa" w:w="200"/>
              <w:left w:type="dxa" w:w="300"/>
              <w:bottom w:type="dxa" w:w="200"/>
              <w:right w:type="dxa" w:w="300"/>
            </w:tcMar>
          </w:tcPr>
          <w:p>
            <w:pPr>
              <w:jc w:val="center"/>
            </w:pPr>
            <w:r>
              <w:rPr>
                <w:rFonts w:ascii="Calibri" w:cs="Calibri" w:eastAsia="Calibri" w:hAnsi="Calibri"/>
                <w:b/>
                <w:bCs/>
                <w:color w:val="E0A106"/>
                <w:sz w:val="22"/>
                <w:szCs w:val="22"/>
              </w:rPr>
              <w:t xml:space="preserve">Begutachtung</w:t>
            </w:r>
          </w:p>
          <w:p>
            <w:pPr>
              <w:spacing w:after="40"/>
              <w:jc w:val="center"/>
            </w:pPr>
            <w:r>
              <w:rPr>
                <w:rFonts w:ascii="Calibri" w:cs="Calibri" w:eastAsia="Calibri" w:hAnsi="Calibri"/>
                <w:color w:val="FFFFFF"/>
                <w:sz w:val="20"/>
                <w:szCs w:val="20"/>
              </w:rPr>
              <w:t xml:space="preserve">Vereinsrecht  ·  Gemeinnützigkeitsrecht</w:t>
            </w:r>
          </w:p>
          <w:p>
            <w:pPr>
              <w:jc w:val="center"/>
            </w:pPr>
            <w:r>
              <w:rPr>
                <w:rFonts w:ascii="Calibri" w:cs="Calibri" w:eastAsia="Calibri" w:hAnsi="Calibri"/>
                <w:color w:val="FFFFFF"/>
                <w:sz w:val="20"/>
                <w:szCs w:val="20"/>
              </w:rPr>
              <w:t xml:space="preserve">Sportverbandsrecht  ·  Governance</w:t>
            </w:r>
          </w:p>
        </w:tc>
      </w:tr>
    </w:tbl>
    <w:p>
      <w:pPr>
        <w:spacing w:after="200"/>
      </w:pPr>
    </w:p>
    <w:p>
      <w:pPr>
        <w:spacing w:after="80"/>
        <w:jc w:val="center"/>
      </w:pPr>
      <w:r>
        <w:rPr>
          <w:rFonts w:ascii="Calibri" w:cs="Calibri" w:eastAsia="Calibri" w:hAnsi="Calibri"/>
          <w:color w:val="666666"/>
          <w:sz w:val="22"/>
          <w:szCs w:val="22"/>
        </w:rPr>
        <w:t xml:space="preserve">Berlin, Juli 2026</w:t>
      </w:r>
    </w:p>
    <w:p>
      <w:pPr>
        <w:jc w:val="center"/>
      </w:pPr>
      <w:r>
        <w:rPr>
          <w:rFonts w:ascii="Calibri" w:cs="Calibri" w:eastAsia="Calibri" w:hAnsi="Calibri"/>
          <w:color w:val="888888"/>
          <w:sz w:val="20"/>
          <w:szCs w:val="20"/>
        </w:rPr>
        <w:t xml:space="preserve">Vertraulich  ·  Attorney-Client Privilege</w:t>
      </w:r>
    </w:p>
    <w:p>
      <w:r>
        <w:br w:type="page"/>
      </w:r>
    </w:p>
    <w:p>
      <w:pPr>
        <w:pStyle w:val="Heading1"/>
        <w:pBdr>
          <w:bottom w:val="single" w:color="002855" w:sz="6"/>
        </w:pBdr>
        <w:spacing w:after="200" w:before="400"/>
      </w:pPr>
      <w:r>
        <w:t xml:space="preserve">Vorbemerkung und Methodik</w:t>
      </w:r>
    </w:p>
    <w:p>
      <w:pPr>
        <w:spacing w:after="120"/>
        <w:ind/>
      </w:pPr>
      <w:r>
        <w:rPr>
          <w:rFonts w:ascii="Calibri" w:cs="Calibri" w:eastAsia="Calibri" w:hAnsi="Calibri"/>
          <w:b w:val="false"/>
          <w:bCs w:val="false"/>
          <w:color w:val="000000"/>
          <w:sz w:val="22"/>
          <w:szCs w:val="22"/>
        </w:rPr>
        <w:t xml:space="preserve">Dieses Gutachten ist eine vollständig unabhängige Second Legal Opinion zur Satzung des Sport-Club Metropolis 25 Berlin e.V. in der Fassung Version 5.0 (Neufassung 2026). Es bestätigt keine früheren Einschätzungen und schließt sich keinen früheren Bewertungen an.</w:t>
      </w:r>
    </w:p>
    <w:p>
      <w:pPr>
        <w:spacing w:after="120"/>
        <w:ind/>
      </w:pPr>
      <w:r>
        <w:rPr>
          <w:rFonts w:ascii="Calibri" w:cs="Calibri" w:eastAsia="Calibri" w:hAnsi="Calibri"/>
          <w:b w:val="false"/>
          <w:bCs w:val="false"/>
          <w:color w:val="000000"/>
          <w:sz w:val="22"/>
          <w:szCs w:val="22"/>
        </w:rPr>
        <w:t xml:space="preserve">Die Prüfung erfolgt paragraph für Paragraph auf der Grundlage folgender Maßstäbe:</w:t>
      </w:r>
    </w:p>
    <w:p>
      <w:pPr>
        <w:pStyle w:val="ListParagraph"/>
        <w:numPr>
          <w:ilvl w:val="0"/>
          <w:numId w:val="1"/>
        </w:numPr>
        <w:spacing w:after="80"/>
      </w:pPr>
      <w:r>
        <w:rPr>
          <w:rFonts w:ascii="Calibri" w:cs="Calibri" w:eastAsia="Calibri" w:hAnsi="Calibri"/>
          <w:sz w:val="22"/>
          <w:szCs w:val="22"/>
        </w:rPr>
        <w:t xml:space="preserve">Vereinsrecht (§§ 21–79 BGB in der aktuell geltenden Fassung)</w:t>
      </w:r>
    </w:p>
    <w:p>
      <w:pPr>
        <w:pStyle w:val="ListParagraph"/>
        <w:numPr>
          <w:ilvl w:val="0"/>
          <w:numId w:val="1"/>
        </w:numPr>
        <w:spacing w:after="80"/>
      </w:pPr>
      <w:r>
        <w:rPr>
          <w:rFonts w:ascii="Calibri" w:cs="Calibri" w:eastAsia="Calibri" w:hAnsi="Calibri"/>
          <w:sz w:val="22"/>
          <w:szCs w:val="22"/>
        </w:rPr>
        <w:t xml:space="preserve">Gemeinnützigkeitsrecht (§§ 51–68 AO)</w:t>
      </w:r>
    </w:p>
    <w:p>
      <w:pPr>
        <w:pStyle w:val="ListParagraph"/>
        <w:numPr>
          <w:ilvl w:val="0"/>
          <w:numId w:val="1"/>
        </w:numPr>
        <w:spacing w:after="80"/>
      </w:pPr>
      <w:r>
        <w:rPr>
          <w:rFonts w:ascii="Calibri" w:cs="Calibri" w:eastAsia="Calibri" w:hAnsi="Calibri"/>
          <w:sz w:val="22"/>
          <w:szCs w:val="22"/>
        </w:rPr>
        <w:t xml:space="preserve">§ 60 AO i.V.m. der amtlichen Mustersatzung (Anlage 1 zu § 60 AO)</w:t>
      </w:r>
    </w:p>
    <w:p>
      <w:pPr>
        <w:pStyle w:val="ListParagraph"/>
        <w:numPr>
          <w:ilvl w:val="0"/>
          <w:numId w:val="1"/>
        </w:numPr>
        <w:spacing w:after="80"/>
      </w:pPr>
      <w:r>
        <w:rPr>
          <w:rFonts w:ascii="Calibri" w:cs="Calibri" w:eastAsia="Calibri" w:hAnsi="Calibri"/>
          <w:sz w:val="22"/>
          <w:szCs w:val="22"/>
        </w:rPr>
        <w:t xml:space="preserve">Anwendungserlass zur Abgabenordnung (AEAO) in der geltenden Fassung</w:t>
      </w:r>
    </w:p>
    <w:p>
      <w:pPr>
        <w:pStyle w:val="ListParagraph"/>
        <w:numPr>
          <w:ilvl w:val="0"/>
          <w:numId w:val="1"/>
        </w:numPr>
        <w:spacing w:after="80"/>
      </w:pPr>
      <w:r>
        <w:rPr>
          <w:rFonts w:ascii="Calibri" w:cs="Calibri" w:eastAsia="Calibri" w:hAnsi="Calibri"/>
          <w:sz w:val="22"/>
          <w:szCs w:val="22"/>
        </w:rPr>
        <w:t xml:space="preserve">Aktuelle BGH-Rechtsprechung zum Vereins- und Verbandsrecht</w:t>
      </w:r>
    </w:p>
    <w:p>
      <w:pPr>
        <w:pStyle w:val="ListParagraph"/>
        <w:numPr>
          <w:ilvl w:val="0"/>
          <w:numId w:val="1"/>
        </w:numPr>
        <w:spacing w:after="80"/>
      </w:pPr>
      <w:r>
        <w:rPr>
          <w:rFonts w:ascii="Calibri" w:cs="Calibri" w:eastAsia="Calibri" w:hAnsi="Calibri"/>
          <w:sz w:val="22"/>
          <w:szCs w:val="22"/>
        </w:rPr>
        <w:t xml:space="preserve">Verwaltungspraxis des Amtsgerichts Charlottenburg (Vereinsregister Berlin)</w:t>
      </w:r>
    </w:p>
    <w:p>
      <w:pPr>
        <w:pStyle w:val="ListParagraph"/>
        <w:numPr>
          <w:ilvl w:val="0"/>
          <w:numId w:val="1"/>
        </w:numPr>
        <w:spacing w:after="80"/>
      </w:pPr>
      <w:r>
        <w:rPr>
          <w:rFonts w:ascii="Calibri" w:cs="Calibri" w:eastAsia="Calibri" w:hAnsi="Calibri"/>
          <w:sz w:val="22"/>
          <w:szCs w:val="22"/>
        </w:rPr>
        <w:t xml:space="preserve">Verwaltungspraxis des Finanzamts für Körperschaften I Berlin</w:t>
      </w:r>
    </w:p>
    <w:p>
      <w:pPr>
        <w:pStyle w:val="ListParagraph"/>
        <w:numPr>
          <w:ilvl w:val="0"/>
          <w:numId w:val="1"/>
        </w:numPr>
        <w:spacing w:after="80"/>
      </w:pPr>
      <w:r>
        <w:rPr>
          <w:rFonts w:ascii="Calibri" w:cs="Calibri" w:eastAsia="Calibri" w:hAnsi="Calibri"/>
          <w:sz w:val="22"/>
          <w:szCs w:val="22"/>
        </w:rPr>
        <w:t xml:space="preserve">DOSB- und LSB-Berlin-Standards</w:t>
      </w:r>
    </w:p>
    <w:p>
      <w:pPr>
        <w:pStyle w:val="ListParagraph"/>
        <w:numPr>
          <w:ilvl w:val="0"/>
          <w:numId w:val="1"/>
        </w:numPr>
        <w:spacing w:after="80"/>
      </w:pPr>
      <w:r>
        <w:rPr>
          <w:rFonts w:ascii="Calibri" w:cs="Calibri" w:eastAsia="Calibri" w:hAnsi="Calibri"/>
          <w:sz w:val="22"/>
          <w:szCs w:val="22"/>
        </w:rPr>
        <w:t xml:space="preserve">DSGVO, BDSG, HinSchG, AGG soweit relevant</w:t>
      </w:r>
    </w:p>
    <w:p>
      <w:pPr>
        <w:spacing w:after="80"/>
      </w:pPr>
    </w:p>
    <w:p>
      <w:pPr>
        <w:spacing w:after="120"/>
        <w:ind/>
      </w:pPr>
      <w:r>
        <w:rPr>
          <w:rFonts w:ascii="Calibri" w:cs="Calibri" w:eastAsia="Calibri" w:hAnsi="Calibri"/>
          <w:b w:val="false"/>
          <w:bCs w:val="false"/>
          <w:color w:val="000000"/>
          <w:sz w:val="22"/>
          <w:szCs w:val="22"/>
        </w:rPr>
        <w:t xml:space="preserve">Eine Änderungsempfehlung wird ausschließlich dann ausgesprochen, wenn sie mindestens einen objektiv messbaren Vorteil in einer der folgenden Dimensionen bringt: Rechtssicherheit, Gemeinnützigkeitsschutz, Registerklarheit, Governance oder Zukunftsfähigkeit.</w:t>
      </w:r>
    </w:p>
    <w:p>
      <w:pPr>
        <w:pBdr>
          <w:bottom w:val="single" w:color="CCCCCC" w:sz="4"/>
        </w:pBdr>
        <w:spacing w:after="200" w:before="200"/>
      </w:pPr>
    </w:p>
    <w:p>
      <w:r>
        <w:br w:type="page"/>
      </w:r>
    </w:p>
    <w:p>
      <w:pPr>
        <w:pStyle w:val="Heading1"/>
        <w:pBdr>
          <w:bottom w:val="single" w:color="002855" w:sz="6"/>
        </w:pBdr>
        <w:spacing w:after="200" w:before="400"/>
      </w:pPr>
      <w:r>
        <w:t xml:space="preserve">Bewertungslegende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shd w:fill="E8F5E9" w:val="clear"/>
            <w:tcMar>
              <w:top w:type="dxa" w:w="80"/>
              <w:left w:type="dxa" w:w="160"/>
              <w:bottom w:type="dxa" w:w="80"/>
              <w:right w:type="dxa" w:w="160"/>
            </w:tcMar>
          </w:tcPr>
          <w:p>
            <w:r>
              <w:rPr>
                <w:rFonts w:ascii="Calibri" w:cs="Calibri" w:eastAsia="Calibri" w:hAnsi="Calibri"/>
                <w:b/>
                <w:bCs/>
                <w:color w:val="1B5E20"/>
                <w:sz w:val="20"/>
                <w:szCs w:val="20"/>
              </w:rPr>
              <w:t xml:space="preserve">🟢 Optimal</w:t>
            </w:r>
          </w:p>
        </w:tc>
        <w:tc>
          <w:tcPr>
            <w:tcW w:type="dxa" w:w="7960"/>
            <w:shd w:fill="FFFFFF" w:val="clear"/>
            <w:tcMar>
              <w:top w:type="dxa" w:w="80"/>
              <w:left w:type="dxa" w:w="160"/>
              <w:bottom w:type="dxa" w:w="80"/>
              <w:right w:type="dxa" w:w="160"/>
            </w:tcMar>
          </w:tcPr>
          <w:p>
            <w:r>
              <w:rPr>
                <w:rFonts w:ascii="Calibri" w:cs="Calibri" w:eastAsia="Calibri" w:hAnsi="Calibri"/>
                <w:sz w:val="20"/>
                <w:szCs w:val="20"/>
              </w:rPr>
              <w:t xml:space="preserve">Entspricht vollständig dem geltenden Recht, der Mustersatzung und best practice. Keine Änderung erforderlich.</w:t>
            </w:r>
          </w:p>
        </w:tc>
      </w:tr>
      <w:tr>
        <w:tc>
          <w:tcPr>
            <w:tcW w:type="dxa" w:w="1400"/>
            <w:shd w:fill="FFFDE7" w:val="clear"/>
            <w:tcMar>
              <w:top w:type="dxa" w:w="80"/>
              <w:left w:type="dxa" w:w="160"/>
              <w:bottom w:type="dxa" w:w="80"/>
              <w:right w:type="dxa" w:w="160"/>
            </w:tcMar>
          </w:tcPr>
          <w:p>
            <w:r>
              <w:rPr>
                <w:rFonts w:ascii="Calibri" w:cs="Calibri" w:eastAsia="Calibri" w:hAnsi="Calibri"/>
                <w:b/>
                <w:bCs/>
                <w:color w:val="4E342E"/>
                <w:sz w:val="20"/>
                <w:szCs w:val="20"/>
              </w:rPr>
              <w:t xml:space="preserve">🟡 Kleines Opt.</w:t>
            </w:r>
          </w:p>
        </w:tc>
        <w:tc>
          <w:tcPr>
            <w:tcW w:type="dxa" w:w="7960"/>
            <w:shd w:fill="FFFFFF" w:val="clear"/>
            <w:tcMar>
              <w:top w:type="dxa" w:w="80"/>
              <w:left w:type="dxa" w:w="160"/>
              <w:bottom w:type="dxa" w:w="80"/>
              <w:right w:type="dxa" w:w="160"/>
            </w:tcMar>
          </w:tcPr>
          <w:p>
            <w:r>
              <w:rPr>
                <w:rFonts w:ascii="Calibri" w:cs="Calibri" w:eastAsia="Calibri" w:hAnsi="Calibri"/>
                <w:sz w:val="20"/>
                <w:szCs w:val="20"/>
              </w:rPr>
              <w:t xml:space="preserve">Rechtlich korrekt, aber eine konkrete Verbesserung erhöht Sicherheit, Klarheit oder Governance-Qualität.</w:t>
            </w:r>
          </w:p>
        </w:tc>
      </w:tr>
      <w:tr>
        <w:tc>
          <w:tcPr>
            <w:tcW w:type="dxa" w:w="1400"/>
            <w:shd w:fill="FFF3E0" w:val="clear"/>
            <w:tcMar>
              <w:top w:type="dxa" w:w="80"/>
              <w:left w:type="dxa" w:w="160"/>
              <w:bottom w:type="dxa" w:w="80"/>
              <w:right w:type="dxa" w:w="160"/>
            </w:tcMar>
          </w:tcPr>
          <w:p>
            <w:r>
              <w:rPr>
                <w:rFonts w:ascii="Calibri" w:cs="Calibri" w:eastAsia="Calibri" w:hAnsi="Calibri"/>
                <w:b/>
                <w:bCs/>
                <w:color w:val="BF360C"/>
                <w:sz w:val="20"/>
                <w:szCs w:val="20"/>
              </w:rPr>
              <w:t xml:space="preserve">🟠 Empfohlen</w:t>
            </w:r>
          </w:p>
        </w:tc>
        <w:tc>
          <w:tcPr>
            <w:tcW w:type="dxa" w:w="7960"/>
            <w:shd w:fill="FFFFFF" w:val="clear"/>
            <w:tcMar>
              <w:top w:type="dxa" w:w="80"/>
              <w:left w:type="dxa" w:w="160"/>
              <w:bottom w:type="dxa" w:w="80"/>
              <w:right w:type="dxa" w:w="160"/>
            </w:tcMar>
          </w:tcPr>
          <w:p>
            <w:r>
              <w:rPr>
                <w:rFonts w:ascii="Calibri" w:cs="Calibri" w:eastAsia="Calibri" w:hAnsi="Calibri"/>
                <w:sz w:val="20"/>
                <w:szCs w:val="20"/>
              </w:rPr>
              <w:t xml:space="preserve">Derzeit ausreichend, enthält aber ein identifizierbares rechtliches oder praktisches Risiko, das behoben werden sollte.</w:t>
            </w:r>
          </w:p>
        </w:tc>
      </w:tr>
      <w:tr>
        <w:tc>
          <w:tcPr>
            <w:tcW w:type="dxa" w:w="1400"/>
            <w:shd w:fill="FFEBEE" w:val="clear"/>
            <w:tcMar>
              <w:top w:type="dxa" w:w="80"/>
              <w:left w:type="dxa" w:w="160"/>
              <w:bottom w:type="dxa" w:w="80"/>
              <w:right w:type="dxa" w:w="160"/>
            </w:tcMar>
          </w:tcPr>
          <w:p>
            <w:r>
              <w:rPr>
                <w:rFonts w:ascii="Calibri" w:cs="Calibri" w:eastAsia="Calibri" w:hAnsi="Calibri"/>
                <w:b/>
                <w:bCs/>
                <w:color w:val="B71C1C"/>
                <w:sz w:val="20"/>
                <w:szCs w:val="20"/>
              </w:rPr>
              <w:t xml:space="preserve">🔴 Problematisch</w:t>
            </w:r>
          </w:p>
        </w:tc>
        <w:tc>
          <w:tcPr>
            <w:tcW w:type="dxa" w:w="7960"/>
            <w:shd w:fill="FFFFFF" w:val="clear"/>
            <w:tcMar>
              <w:top w:type="dxa" w:w="80"/>
              <w:left w:type="dxa" w:w="160"/>
              <w:bottom w:type="dxa" w:w="80"/>
              <w:right w:type="dxa" w:w="160"/>
            </w:tcMar>
          </w:tcPr>
          <w:p>
            <w:r>
              <w:rPr>
                <w:rFonts w:ascii="Calibri" w:cs="Calibri" w:eastAsia="Calibri" w:hAnsi="Calibri"/>
                <w:sz w:val="20"/>
                <w:szCs w:val="20"/>
              </w:rPr>
              <w:t xml:space="preserve">Erhebliches Risiko für Registereintragung, Gemeinnützigkeit oder Rechtswirksamkeit. Änderung vor Beschlussfassung zwingend.</w:t>
            </w:r>
          </w:p>
        </w:tc>
      </w:tr>
    </w:tbl>
    <w:p>
      <w:pPr>
        <w:spacing w:after="80"/>
      </w:pPr>
    </w:p>
    <w:p>
      <w:r>
        <w:br w:type="page"/>
      </w:r>
    </w:p>
    <w:p>
      <w:pPr>
        <w:pStyle w:val="Heading1"/>
        <w:pBdr>
          <w:bottom w:val="single" w:color="002855" w:sz="6"/>
        </w:pBdr>
        <w:spacing w:after="200" w:before="400"/>
      </w:pPr>
      <w:r>
        <w:t xml:space="preserve">PRÜFUNG PARAGRAPH FÜR PARAGRAPH</w:t>
      </w:r>
    </w:p>
    <w:p>
      <w:pPr>
        <w:pStyle w:val="Heading2"/>
        <w:spacing w:after="120" w:before="360"/>
      </w:pPr>
      <w:r>
        <w:t xml:space="preserve">Präambel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Die Präambel hat keine unmittelbare normative Wirkung, ist aber für die teleologische Auslegung aller Satzungsvorschriften relevant. Sie enthält keine gesetzlich zwingenden Elemente, führt jedoch die Wertebasis des Vereins klar aus.</w:t>
      </w:r>
    </w:p>
    <w:p>
      <w:pPr>
        <w:spacing w:after="120"/>
        <w:ind/>
      </w:pPr>
      <w:r>
        <w:rPr>
          <w:rFonts w:ascii="Calibri" w:cs="Calibri" w:eastAsia="Calibri" w:hAnsi="Calibri"/>
          <w:b w:val="false"/>
          <w:bCs w:val="false"/>
          <w:color w:val="000000"/>
          <w:sz w:val="22"/>
          <w:szCs w:val="22"/>
        </w:rPr>
        <w:t xml:space="preserve">Die Aufzählung der Schutzmerkmale (Herkunft, Staatsangehörigkeit, Alter, Geschlecht, geschlechtliche Identität, sexuelle Orientierung, Religion, Weltanschauung, Behinderung, soziale Lage) entspricht vollständig den Merkmalen des § 1 AGG und geht in einzelnen Punkten (geschlechtliche Identität, soziale Lage) bewusst über die AGG-Merkmale hinaus, was das gesellschaftliche Bekenntnis des Vereins glaubwürdig macht.</w:t>
      </w:r>
    </w:p>
    <w:p>
      <w:pPr>
        <w:spacing w:after="120"/>
        <w:ind/>
      </w:pPr>
      <w:r>
        <w:rPr>
          <w:rFonts w:ascii="Calibri" w:cs="Calibri" w:eastAsia="Calibri" w:hAnsi="Calibri"/>
          <w:b w:val="false"/>
          <w:bCs w:val="false"/>
          <w:color w:val="000000"/>
          <w:sz w:val="22"/>
          <w:szCs w:val="22"/>
        </w:rPr>
        <w:t xml:space="preserve">Das Vereinsmotto ("Wo Berlin pulsiert, wächst unsere Stärke.") ist steuerrechtlich und registerrechtlich unschädlich. Die Präambel enthält keine Regelungen, die zur Vermischung von Satzungszweck und Satzungsdurchführung führen könnten.</w:t>
      </w:r>
    </w:p>
    <w:p>
      <w:pPr>
        <w:spacing w:after="120"/>
        <w:ind/>
      </w:pPr>
      <w:r>
        <w:rPr>
          <w:rFonts w:ascii="Calibri" w:cs="Calibri" w:eastAsia="Calibri" w:hAnsi="Calibri"/>
          <w:b w:val="false"/>
          <w:bCs w:val="false"/>
          <w:color w:val="000000"/>
          <w:sz w:val="22"/>
          <w:szCs w:val="22"/>
        </w:rPr>
        <w:t xml:space="preserve">Registerprüfung: Kein Zwischenverfügungsrisiko.</w:t>
      </w:r>
    </w:p>
    <w:p>
      <w:pPr>
        <w:spacing w:after="120"/>
        <w:ind/>
      </w:pPr>
      <w:r>
        <w:rPr>
          <w:rFonts w:ascii="Calibri" w:cs="Calibri" w:eastAsia="Calibri" w:hAnsi="Calibri"/>
          <w:b w:val="false"/>
          <w:bCs w:val="false"/>
          <w:color w:val="000000"/>
          <w:sz w:val="22"/>
          <w:szCs w:val="22"/>
        </w:rPr>
        <w:t xml:space="preserve">Steuerprüfung: Kein Beanstandungsrisiko. Das Finanzamt liest die Präambel nicht als Zweckbestimmung i.S.d. § 60 AO.</w:t>
      </w:r>
    </w:p>
    <type>nochange</type>
    <w:p>
      <w:pPr>
        <w:pBdr>
          <w:bottom w:val="single" w:color="CCCCCC" w:sz="4"/>
        </w:pBdr>
        <w:spacing w:after="200" w:before="200"/>
      </w:pPr>
    </w:p>
    <w:p>
      <w:pPr>
        <w:pStyle w:val="Heading2"/>
        <w:spacing w:after="120" w:before="360"/>
      </w:pPr>
      <w:r>
        <w:t xml:space="preserve">§ 1 — Name, Sitz, Eintragung und Geschäftsjahr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DE7" w:val="clear"/>
            <w:tcMar>
              <w:top w:type="dxa" w:w="100"/>
              <w:left w:type="dxa" w:w="200"/>
              <w:bottom w:type="dxa" w:w="100"/>
              <w:right w:type="dxa" w:w="200"/>
            </w:tcMar>
          </w:tcPr>
          <w:p>
            <w:r>
              <w:rPr>
                <w:rFonts w:ascii="Calibri" w:cs="Calibri" w:eastAsia="Calibri" w:hAnsi="Calibri"/>
                <w:b/>
                <w:bCs/>
                <w:color w:val="4E342E"/>
                <w:sz w:val="24"/>
                <w:szCs w:val="24"/>
              </w:rPr>
              <w:t xml:space="preserve">🟡  Kleine Verbesserung möglich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Abs. 1 (Name und Kurzbezeichnung): Korrekt. Die Nennung der Kurzbezeichnung "M25 Berlin SC" in der Satzung ist registerrechtlich unbedenklich und praxistauglich, da sie den Einsatz in Erscheinungsbildern, Sponsoringverträgen und Verbandsmeldungen sichert.</w:t>
      </w:r>
    </w:p>
    <w:p>
      <w:pPr>
        <w:spacing w:after="120"/>
        <w:ind/>
      </w:pPr>
      <w:r>
        <w:rPr>
          <w:rFonts w:ascii="Calibri" w:cs="Calibri" w:eastAsia="Calibri" w:hAnsi="Calibri"/>
          <w:b w:val="false"/>
          <w:bCs w:val="false"/>
          <w:color w:val="000000"/>
          <w:sz w:val="22"/>
          <w:szCs w:val="22"/>
        </w:rPr>
        <w:t xml:space="preserve">Abs. 2 (Sitz und Eintragung): Die Formulierung "ist in das Vereinsregister eingetragen" ist für eine Satzungs-Neufassung eines bereits eingetragenen Vereins korrekt. Jedoch fehlt die Angabe des zuständigen Registergerichts. Das Amtsgericht Charlottenburg führt das Vereinsregister Berlin. Die Nennung ist zwar nicht zwingend, erhöht jedoch die Eindeutigkeit und ist in Verbandsanmeldungen sowie Außenauftritten häufig gefordert.</w:t>
      </w:r>
    </w:p>
    <w:p>
      <w:pPr>
        <w:spacing w:after="120"/>
        <w:ind/>
      </w:pPr>
      <w:r>
        <w:rPr>
          <w:rFonts w:ascii="Calibri" w:cs="Calibri" w:eastAsia="Calibri" w:hAnsi="Calibri"/>
          <w:b w:val="false"/>
          <w:bCs w:val="false"/>
          <w:color w:val="000000"/>
          <w:sz w:val="22"/>
          <w:szCs w:val="22"/>
        </w:rPr>
        <w:t xml:space="preserve">Abs. 3 (Geschäftsjahr = Kalenderjahr): Standard, korrekt, vom Finanzamt erwartet.</w:t>
      </w:r>
    </w:p>
    <w:p>
      <w:pPr>
        <w:spacing w:after="120"/>
        <w:ind/>
      </w:pPr>
      <w:r>
        <w:rPr>
          <w:rFonts w:ascii="Calibri" w:cs="Calibri" w:eastAsia="Calibri" w:hAnsi="Calibri"/>
          <w:b w:val="false"/>
          <w:bCs w:val="false"/>
          <w:color w:val="000000"/>
          <w:sz w:val="22"/>
          <w:szCs w:val="22"/>
        </w:rPr>
        <w:t xml:space="preserve">Abs. 4 (Verwendung beider Bezeichnungen): Sinnvolle Klarstellung für den rechtsgeschäftlichen Verkehr. Nicht zwingend erforderlich, aber praxistauglich.</w:t>
      </w:r>
    </w:p>
    <w:p>
      <w:pPr>
        <w:spacing w:after="120"/>
        <w:ind/>
      </w:pPr>
      <w:r>
        <w:rPr>
          <w:rFonts w:ascii="Calibri" w:cs="Calibri" w:eastAsia="Calibri" w:hAnsi="Calibri"/>
          <w:b w:val="false"/>
          <w:bCs w:val="false"/>
          <w:color w:val="000000"/>
          <w:sz w:val="22"/>
          <w:szCs w:val="22"/>
        </w:rPr>
        <w:t xml:space="preserve">Registerprüfung: Das Registergericht wird keine Zwischenverfügung erlassen. Die Angabe des Registergerichts wäre dennoch willkommen.</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1 Abs. 2 — Ergänzung:
"Der Verein hat seinen Sitz in Berlin und ist im Vereinsregister des Amtsgerichts
Charlottenburg (Berlin) eingetragen."</w:t>
            </w:r>
          </w:p>
        </w:tc>
      </w:tr>
    </w:tbl>
    <w:p>
      <w:pPr>
        <w:spacing w:after="120"/>
        <w:ind/>
      </w:pPr>
      <w:r>
        <w:rPr>
          <w:rFonts w:ascii="Calibri" w:cs="Calibri" w:eastAsia="Calibri" w:hAnsi="Calibri"/>
          <w:b w:val="false"/>
          <w:bCs w:val="false"/>
          <w:color w:val="000000"/>
          <w:sz w:val="22"/>
          <w:szCs w:val="22"/>
        </w:rPr>
        <w:t xml:space="preserve">Begründung der Änderung: Verbessert die Eindeutigkeit gegenüber Verbänden, öffentlichen Stellen und dem Register selbst; kein registerrechtliches Risiko; kein Mehraufwand.</w:t>
      </w:r>
    </w:p>
    <w:p>
      <w:pPr>
        <w:pBdr>
          <w:bottom w:val="single" w:color="CCCCCC" w:sz="4"/>
        </w:pBdr>
        <w:spacing w:after="200" w:before="200"/>
      </w:pPr>
    </w:p>
    <w:p>
      <w:pPr>
        <w:pStyle w:val="Heading2"/>
        <w:spacing w:after="120" w:before="360"/>
      </w:pPr>
      <w:r>
        <w:t xml:space="preserve">§ 2 — Vereinszweck und Zweckverwirklichung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DE7" w:val="clear"/>
            <w:tcMar>
              <w:top w:type="dxa" w:w="100"/>
              <w:left w:type="dxa" w:w="200"/>
              <w:bottom w:type="dxa" w:w="100"/>
              <w:right w:type="dxa" w:w="200"/>
            </w:tcMar>
          </w:tcPr>
          <w:p>
            <w:r>
              <w:rPr>
                <w:rFonts w:ascii="Calibri" w:cs="Calibri" w:eastAsia="Calibri" w:hAnsi="Calibri"/>
                <w:b/>
                <w:bCs/>
                <w:color w:val="4E342E"/>
                <w:sz w:val="24"/>
                <w:szCs w:val="24"/>
              </w:rPr>
              <w:t xml:space="preserve">🟡  Kleine Verbesserung möglich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Abs. 1 (Zweck): Der Verweis auf § 52 Abs. 2 S. 1 Nr. 21 AO ist präzise und korrekt. Es handelt sich um den Standardverweis für Sportvereine. ✓</w:t>
      </w:r>
    </w:p>
    <w:p>
      <w:pPr>
        <w:spacing w:after="120"/>
        <w:ind/>
      </w:pPr>
      <w:r>
        <w:rPr>
          <w:rFonts w:ascii="Calibri" w:cs="Calibri" w:eastAsia="Calibri" w:hAnsi="Calibri"/>
          <w:b w:val="false"/>
          <w:bCs w:val="false"/>
          <w:color w:val="000000"/>
          <w:sz w:val="22"/>
          <w:szCs w:val="22"/>
        </w:rPr>
        <w:t xml:space="preserve">Abs. 2 (Zweckverwirklichung): Der Katalog (a–i) entspricht inhaltlich und sprachlich dem AEAO zu § 60 AO Nr. 2, der eine hinreichend bestimmte Beschreibung der Zweckverwirklichung fordert. Die Aufzählung ist vollständig, ohne übermäßig restriktiv zu sein. Die Nennung von Fußball, Basketball, Volleyball und Handball als "insbesondere"-Aufzählung ist dem Mehrspartencharakter angemessen. ✓</w:t>
      </w:r>
    </w:p>
    <w:p>
      <w:pPr>
        <w:spacing w:after="120"/>
        <w:ind/>
      </w:pPr>
      <w:r>
        <w:rPr>
          <w:rFonts w:ascii="Calibri" w:cs="Calibri" w:eastAsia="Calibri" w:hAnsi="Calibri"/>
          <w:b w:val="false"/>
          <w:bCs w:val="false"/>
          <w:color w:val="000000"/>
          <w:sz w:val="22"/>
          <w:szCs w:val="22"/>
        </w:rPr>
        <w:t xml:space="preserve">Abs. 3 (Mehrspartenklausel ohne Satzungsänderung): Juristisch innovativ und praxistauglich, aber mit geringem Steuerrisiko behaftet. Das Finanzamt für Körperschaften I Berlin könnte im Rahmen der Erstveranlagung anfragen, ob neue Sportarten — die ohne MV-Beschluss aufgenommen werden — noch "unmittelbar der Zweckverwirklichung" dienen. Die Rückbindung an den steuerbegünstigten Zweck in Abs. 3 letzter Satz ist die richtige Absicherung, reicht aber für maximale Klarheit nicht aus.</w:t>
      </w:r>
    </w:p>
    <w:p>
      <w:pPr>
        <w:spacing w:after="120"/>
        <w:ind/>
      </w:pPr>
      <w:r>
        <w:rPr>
          <w:rFonts w:ascii="Calibri" w:cs="Calibri" w:eastAsia="Calibri" w:hAnsi="Calibri"/>
          <w:b w:val="false"/>
          <w:bCs w:val="false"/>
          <w:color w:val="000000"/>
          <w:sz w:val="22"/>
          <w:szCs w:val="22"/>
        </w:rPr>
        <w:t xml:space="preserve">Empfehlung: Eine ergänzende Berichtspflicht gegenüber der MV stärkt die Transparenz und entkräftet potenzielle Finanzamtsrückfragen.</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2 Abs. 3 — Letzter Satz ersetzen durch:
"Die Aufnahme neuer Sportarten oder Angebotsbereiche und die Aufgabe einzelner
Sportabteilungen bedürfen keiner Satzungsänderung, sofern der steuerbegünstigte
Zweck der Förderung des Sports dadurch weder geändert noch wesentlich eingeschränkt
wird. Der Gesamtvorstand dokumentiert jede Aufnahme oder Aufgabe und berichtet
der nächsten Mitgliederversammlung."</w:t>
            </w:r>
          </w:p>
        </w:tc>
      </w:tr>
    </w:tbl>
    <w:p>
      <w:pPr>
        <w:spacing w:after="120"/>
        <w:ind/>
      </w:pPr>
      <w:r>
        <w:rPr>
          <w:rFonts w:ascii="Calibri" w:cs="Calibri" w:eastAsia="Calibri" w:hAnsi="Calibri"/>
          <w:b w:val="false"/>
          <w:bCs w:val="false"/>
          <w:color w:val="000000"/>
          <w:sz w:val="22"/>
          <w:szCs w:val="22"/>
        </w:rPr>
        <w:t xml:space="preserve">Begründung der Änderung: Die Berichtspflicht stärkt die Mitgliederrechte, sichert die Steuerkonformität ab und schafft Vertrauen beim Finanzamt, ohne die operative Flexibilität des Vorstands zu beschränken.</w:t>
      </w:r>
    </w:p>
    <w:p>
      <w:pPr>
        <w:pBdr>
          <w:bottom w:val="single" w:color="CCCCCC" w:sz="4"/>
        </w:pBdr>
        <w:spacing w:after="200" w:before="200"/>
      </w:pPr>
    </w:p>
    <w:p>
      <w:pPr>
        <w:pStyle w:val="Heading2"/>
        <w:spacing w:after="120" w:before="360"/>
      </w:pPr>
      <w:r>
        <w:t xml:space="preserve">§ 3 — Gemeinnützigkeit, Selbstlosigkeit und Mittelverwendung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 3 ist die herausragende Stärke dieser Satzung. Die Regelung folgt exakt der Mustersatzung zu § 60 AO und geht in mehreren Punkten darüber hinaus:</w:t>
      </w:r>
    </w:p>
    <w:p>
      <w:pPr>
        <w:pStyle w:val="ListParagraph"/>
        <w:numPr>
          <w:ilvl w:val="0"/>
          <w:numId w:val="1"/>
        </w:numPr>
        <w:spacing w:after="80"/>
      </w:pPr>
      <w:r>
        <w:rPr>
          <w:rFonts w:ascii="Calibri" w:cs="Calibri" w:eastAsia="Calibri" w:hAnsi="Calibri"/>
          <w:sz w:val="22"/>
          <w:szCs w:val="22"/>
        </w:rPr>
        <w:t xml:space="preserve">Abs. 1: Ausschließlichkeit und Unmittelbarkeit (§ 51 Abs. 1, § 57 AO). ✓</w:t>
      </w:r>
    </w:p>
    <w:p>
      <w:pPr>
        <w:pStyle w:val="ListParagraph"/>
        <w:numPr>
          <w:ilvl w:val="0"/>
          <w:numId w:val="1"/>
        </w:numPr>
        <w:spacing w:after="80"/>
      </w:pPr>
      <w:r>
        <w:rPr>
          <w:rFonts w:ascii="Calibri" w:cs="Calibri" w:eastAsia="Calibri" w:hAnsi="Calibri"/>
          <w:sz w:val="22"/>
          <w:szCs w:val="22"/>
        </w:rPr>
        <w:t xml:space="preserve">Abs. 2: Selbstlosigkeit (§ 55 Abs. 1 AO). ✓</w:t>
      </w:r>
    </w:p>
    <w:p>
      <w:pPr>
        <w:pStyle w:val="ListParagraph"/>
        <w:numPr>
          <w:ilvl w:val="0"/>
          <w:numId w:val="1"/>
        </w:numPr>
        <w:spacing w:after="80"/>
      </w:pPr>
      <w:r>
        <w:rPr>
          <w:rFonts w:ascii="Calibri" w:cs="Calibri" w:eastAsia="Calibri" w:hAnsi="Calibri"/>
          <w:sz w:val="22"/>
          <w:szCs w:val="22"/>
        </w:rPr>
        <w:t xml:space="preserve">Abs. 3: Mittelverwendungsgebot (Mustersatzung Klausel 2). ✓</w:t>
      </w:r>
    </w:p>
    <w:p>
      <w:pPr>
        <w:pStyle w:val="ListParagraph"/>
        <w:numPr>
          <w:ilvl w:val="0"/>
          <w:numId w:val="1"/>
        </w:numPr>
        <w:spacing w:after="80"/>
      </w:pPr>
      <w:r>
        <w:rPr>
          <w:rFonts w:ascii="Calibri" w:cs="Calibri" w:eastAsia="Calibri" w:hAnsi="Calibri"/>
          <w:sz w:val="22"/>
          <w:szCs w:val="22"/>
        </w:rPr>
        <w:t xml:space="preserve">Abs. 4: Begünstigungsverbot (Mustersatzung Klausel 3). ✓</w:t>
      </w:r>
    </w:p>
    <w:p>
      <w:pPr>
        <w:pStyle w:val="ListParagraph"/>
        <w:numPr>
          <w:ilvl w:val="0"/>
          <w:numId w:val="1"/>
        </w:numPr>
        <w:spacing w:after="80"/>
      </w:pPr>
      <w:r>
        <w:rPr>
          <w:rFonts w:ascii="Calibri" w:cs="Calibri" w:eastAsia="Calibri" w:hAnsi="Calibri"/>
          <w:sz w:val="22"/>
          <w:szCs w:val="22"/>
        </w:rPr>
        <w:t xml:space="preserve">Abs. 5: Vergütungsermächtigung für den Vorstand (§ 27 Abs. 3 S. 2 BGB) mit explizitem MV-Beschlusserfordernis und Bestimmtheitsgebot (Art, Umfang, Höchstgrenze) — Best Practice. ✓</w:t>
      </w:r>
    </w:p>
    <w:p>
      <w:pPr>
        <w:pStyle w:val="ListParagraph"/>
        <w:numPr>
          <w:ilvl w:val="0"/>
          <w:numId w:val="1"/>
        </w:numPr>
        <w:spacing w:after="80"/>
      </w:pPr>
      <w:r>
        <w:rPr>
          <w:rFonts w:ascii="Calibri" w:cs="Calibri" w:eastAsia="Calibri" w:hAnsi="Calibri"/>
          <w:sz w:val="22"/>
          <w:szCs w:val="22"/>
        </w:rPr>
        <w:t xml:space="preserve">Abs. 6: Interessenkonfliktregelung bei Verträgen mit Vorstandsmitgliedern mit vollständigem Ausschluss des betroffenen Mitglieds und ausdrücklichem § 181 BGB-Vorbehalt — überragend. ✓</w:t>
      </w:r>
    </w:p>
    <w:p>
      <w:pPr>
        <w:pStyle w:val="ListParagraph"/>
        <w:numPr>
          <w:ilvl w:val="0"/>
          <w:numId w:val="1"/>
        </w:numPr>
        <w:spacing w:after="80"/>
      </w:pPr>
      <w:r>
        <w:rPr>
          <w:rFonts w:ascii="Calibri" w:cs="Calibri" w:eastAsia="Calibri" w:hAnsi="Calibri"/>
          <w:sz w:val="22"/>
          <w:szCs w:val="22"/>
        </w:rPr>
        <w:t xml:space="preserve">Abs. 7: Auslagenerstattung per Ordnung — steuerrechtlich korrekt. ✓</w:t>
      </w:r>
    </w:p>
    <w:p>
      <w:pPr>
        <w:pStyle w:val="ListParagraph"/>
        <w:numPr>
          <w:ilvl w:val="0"/>
          <w:numId w:val="1"/>
        </w:numPr>
        <w:spacing w:after="80"/>
      </w:pPr>
      <w:r>
        <w:rPr>
          <w:rFonts w:ascii="Calibri" w:cs="Calibri" w:eastAsia="Calibri" w:hAnsi="Calibri"/>
          <w:sz w:val="22"/>
          <w:szCs w:val="22"/>
        </w:rPr>
        <w:t xml:space="preserve">Abs. 8: Rücklagenbildung nach § 58 Nr. 1 AO und Mittelweitergabe nach § 58 Nr. 2 AO — korrekt referenziert. ✓</w:t>
      </w:r>
    </w:p>
    <w:p>
      <w:pPr>
        <w:spacing w:after="120"/>
        <w:ind/>
      </w:pPr>
      <w:r>
        <w:rPr>
          <w:rFonts w:ascii="Calibri" w:cs="Calibri" w:eastAsia="Calibri" w:hAnsi="Calibri"/>
          <w:b w:val="false"/>
          <w:bCs w:val="false"/>
          <w:color w:val="000000"/>
          <w:sz w:val="22"/>
          <w:szCs w:val="22"/>
        </w:rPr>
        <w:t xml:space="preserve">Steuerprüfung: Das Finanzamt für Körperschaften I Berlin hat bei dieser Regelung keinen Anlass zur Beanstandung. Die Mustersatzungsklauseln sind vollständig und inhaltlich übereinstimmend.</w:t>
      </w:r>
    </w:p>
    <w:p>
      <w:pPr>
        <w:spacing w:after="120"/>
        <w:ind/>
      </w:pPr>
      <w:r>
        <w:rPr>
          <w:rFonts w:ascii="Calibri" w:cs="Calibri" w:eastAsia="Calibri" w:hAnsi="Calibri"/>
          <w:b w:val="false"/>
          <w:bCs w:val="false"/>
          <w:color w:val="000000"/>
          <w:sz w:val="22"/>
          <w:szCs w:val="22"/>
        </w:rPr>
        <w:t xml:space="preserve">Registerprüfung: § 3 wird vom Registergericht nicht beanstandet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4 — Grundsätze, Neutralität und Schutz</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DE7" w:val="clear"/>
            <w:tcMar>
              <w:top w:type="dxa" w:w="100"/>
              <w:left w:type="dxa" w:w="200"/>
              <w:bottom w:type="dxa" w:w="100"/>
              <w:right w:type="dxa" w:w="200"/>
            </w:tcMar>
          </w:tcPr>
          <w:p>
            <w:r>
              <w:rPr>
                <w:rFonts w:ascii="Calibri" w:cs="Calibri" w:eastAsia="Calibri" w:hAnsi="Calibri"/>
                <w:b/>
                <w:bCs/>
                <w:color w:val="4E342E"/>
                <w:sz w:val="24"/>
                <w:szCs w:val="24"/>
              </w:rPr>
              <w:t xml:space="preserve">🟡  Kleine Verbesserung möglich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Abs. 1 (Neutralität): Parteipolitische und konfessionelle Neutralität ist für gemeinnützige Vereine standard; das Finanzamt erwartet diese Erklärung. ✓</w:t>
      </w:r>
    </w:p>
    <w:p>
      <w:pPr>
        <w:spacing w:after="120"/>
        <w:ind/>
      </w:pPr>
      <w:r>
        <w:rPr>
          <w:rFonts w:ascii="Calibri" w:cs="Calibri" w:eastAsia="Calibri" w:hAnsi="Calibri"/>
          <w:b w:val="false"/>
          <w:bCs w:val="false"/>
          <w:color w:val="000000"/>
          <w:sz w:val="22"/>
          <w:szCs w:val="22"/>
        </w:rPr>
        <w:t xml:space="preserve">Abs. 3 (Kindesschutz): Dies ist ein hervorragender, zukunftsweisender Satzungsartikel. Die ausdrückliche Verpflichtung zu Präventions-, Interventions- und Beschwerdemaßnahmen entspricht den Anforderungen des DOSB-Konzepts "Schutz vor (sexualisierter) Gewalt im Sport" und den Empfehlungen des LSB Berlin. Die Verweisung auf eine Schutz- oder Ehrenordnung gibt dem Vorstand Handlungsspielraum ohne Satzungsänderung. ✓</w:t>
      </w:r>
    </w:p>
    <w:p>
      <w:pPr>
        <w:spacing w:after="120"/>
        <w:ind/>
      </w:pPr>
      <w:r>
        <w:rPr>
          <w:rFonts w:ascii="Calibri" w:cs="Calibri" w:eastAsia="Calibri" w:hAnsi="Calibri"/>
          <w:b w:val="false"/>
          <w:bCs w:val="false"/>
          <w:color w:val="000000"/>
          <w:sz w:val="22"/>
          <w:szCs w:val="22"/>
        </w:rPr>
        <w:t xml:space="preserve">Abs. 4 (Bindungspflicht): Die Bindung aller Personen an Satzung, Ordnungen und Verbandsregelwerke ist systematisch an der richtigen Stelle. ✓</w:t>
      </w:r>
    </w:p>
    <w:p>
      <w:pPr>
        <w:spacing w:after="120"/>
        <w:ind/>
      </w:pPr>
      <w:r>
        <w:rPr>
          <w:rFonts w:ascii="Calibri" w:cs="Calibri" w:eastAsia="Calibri" w:hAnsi="Calibri"/>
          <w:b w:val="false"/>
          <w:bCs w:val="false"/>
          <w:color w:val="000000"/>
          <w:sz w:val="22"/>
          <w:szCs w:val="22"/>
        </w:rPr>
        <w:t xml:space="preserve">Identifiziertes Risiko — Hinweisgeberschutz: Das Hinweisgeberschutzgesetz (HinSchG, BGBl. I 2023, S. 140, in Kraft seit 02.07.2023) verpflichtet alle Beschäftigungsgeber mit 50 oder mehr Beschäftigten zur Einrichtung interner Meldestellen. SC Metropolis 25 hat aktuell keine 50 Beschäftigten. Bei erheblichem Wachstum (Vollzeittrainer, Verwaltungspersonal) könnte die Schwelle erreicht werden. Eine optionale Öffnungsklausel sichert diese Entwicklung ab, ohne heute Pflichten zu begründen.</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4 neuer Abs. 5:
"(5) Der Verein fördert eine offene Meldekultur. Er kann zur Meldung von
Rechtsverstößen, Satzungsverletzungen oder anderen Missständen eine interne
Anlaufstelle einrichten. Näheres regelt der Gesamtvorstand im Rahmen der
gesetzlichen Anforderungen des Hinweisgeberschutzgesetzes."</w:t>
            </w:r>
          </w:p>
        </w:tc>
      </w:tr>
    </w:tbl>
    <w:p>
      <w:pPr>
        <w:spacing w:after="120"/>
        <w:ind/>
      </w:pPr>
      <w:r>
        <w:rPr>
          <w:rFonts w:ascii="Calibri" w:cs="Calibri" w:eastAsia="Calibri" w:hAnsi="Calibri"/>
          <w:b w:val="false"/>
          <w:bCs w:val="false"/>
          <w:color w:val="000000"/>
          <w:sz w:val="22"/>
          <w:szCs w:val="22"/>
        </w:rPr>
        <w:t xml:space="preserve">Begründung der Änderung: Zukunftssicherung ohne heutige Pflichtbegründung; signalisiert Compliance-Kultur gegenüber Fördermittelgebern; verhindert regelungslosen Zustand bei Erreichen der HinSchG-Schwelle.</w:t>
      </w:r>
    </w:p>
    <w:p>
      <w:pPr>
        <w:pBdr>
          <w:bottom w:val="single" w:color="CCCCCC" w:sz="4"/>
        </w:pBdr>
        <w:spacing w:after="200" w:before="200"/>
      </w:pPr>
    </w:p>
    <w:p>
      <w:pPr>
        <w:pStyle w:val="Heading2"/>
        <w:spacing w:after="120" w:before="360"/>
      </w:pPr>
      <w:r>
        <w:t xml:space="preserve">§ 5 — Erwerb der Mitgliedschaft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Die Aufnahmeregelung ist vollständig, rechtssicher und praxistauglich.</w:t>
      </w:r>
    </w:p>
    <w:p>
      <w:pPr>
        <w:pStyle w:val="ListParagraph"/>
        <w:numPr>
          <w:ilvl w:val="0"/>
          <w:numId w:val="1"/>
        </w:numPr>
        <w:spacing w:after="80"/>
      </w:pPr>
      <w:r>
        <w:rPr>
          <w:rFonts w:ascii="Calibri" w:cs="Calibri" w:eastAsia="Calibri" w:hAnsi="Calibri"/>
          <w:sz w:val="22"/>
          <w:szCs w:val="22"/>
        </w:rPr>
        <w:t xml:space="preserve">Textform (§ 126b BGB): Korrekt gewählt. Erlaubt E-Mail, PDF, Messenger-Nachrichten — praxistauglich ohne Schriftformerfordernis. ✓</w:t>
      </w:r>
    </w:p>
    <w:p>
      <w:pPr>
        <w:pStyle w:val="ListParagraph"/>
        <w:numPr>
          <w:ilvl w:val="0"/>
          <w:numId w:val="1"/>
        </w:numPr>
        <w:spacing w:after="80"/>
      </w:pPr>
      <w:r>
        <w:rPr>
          <w:rFonts w:ascii="Calibri" w:cs="Calibri" w:eastAsia="Calibri" w:hAnsi="Calibri"/>
          <w:sz w:val="22"/>
          <w:szCs w:val="22"/>
        </w:rPr>
        <w:t xml:space="preserve">Zustimmung der gesetzlichen Vertretung bei Minderjährigen: Rechtlich zwingend (§ 107 BGB). ✓</w:t>
      </w:r>
    </w:p>
    <w:p>
      <w:pPr>
        <w:pStyle w:val="ListParagraph"/>
        <w:numPr>
          <w:ilvl w:val="0"/>
          <w:numId w:val="1"/>
        </w:numPr>
        <w:spacing w:after="80"/>
      </w:pPr>
      <w:r>
        <w:rPr>
          <w:rFonts w:ascii="Calibri" w:cs="Calibri" w:eastAsia="Calibri" w:hAnsi="Calibri"/>
          <w:sz w:val="22"/>
          <w:szCs w:val="22"/>
        </w:rPr>
        <w:t xml:space="preserve">Abs. 3 (Delegierbarkeit mit Widerrufsmöglichkeit): Praxistauglich für Wachstumsphasen; schützt die Letztverantwortung des Gesamtvorstands. ✓</w:t>
      </w:r>
    </w:p>
    <w:p>
      <w:pPr>
        <w:pStyle w:val="ListParagraph"/>
        <w:numPr>
          <w:ilvl w:val="0"/>
          <w:numId w:val="1"/>
        </w:numPr>
        <w:spacing w:after="80"/>
      </w:pPr>
      <w:r>
        <w:rPr>
          <w:rFonts w:ascii="Calibri" w:cs="Calibri" w:eastAsia="Calibri" w:hAnsi="Calibri"/>
          <w:sz w:val="22"/>
          <w:szCs w:val="22"/>
        </w:rPr>
        <w:t xml:space="preserve">Abs. 4 (kein Aufnahmeanspruch, keine Begründungspflicht): Entspricht § 39 BGB und BGH-Rechtsprechung. ✓</w:t>
      </w:r>
    </w:p>
    <w:p>
      <w:pPr>
        <w:pStyle w:val="ListParagraph"/>
        <w:numPr>
          <w:ilvl w:val="0"/>
          <w:numId w:val="1"/>
        </w:numPr>
        <w:spacing w:after="80"/>
      </w:pPr>
      <w:r>
        <w:rPr>
          <w:rFonts w:ascii="Calibri" w:cs="Calibri" w:eastAsia="Calibri" w:hAnsi="Calibri"/>
          <w:sz w:val="22"/>
          <w:szCs w:val="22"/>
        </w:rPr>
        <w:t xml:space="preserve">AGG-Risiko: Minimal. Eine Ablehnung ohne Begründung ist grundsätzlich zulässig. Solange keine systematisch diskriminierende Aufnahmepraxis vorliegt, ist das Risiko einer AGG-Klage vernachlässigbar. Die offene Wertebasis der Präambel und das Fehlen restriktiver Aufnahmekriterien reduzieren das Risiko weiter.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6 — Mitgliedschaftsarten und Jugendstatus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Die vier Mitgliedschaftskategorien sind klar, rechtlich trennscharf und steuerrechtlich korrekt. Fördermitglieder können juristische Personen sein (wichtig für Unternehmensmitgliedschaften), erhalten aber kein Stimmrecht — dies entspricht best practice zur Abwehr von Fremdsteuerungsrisiken. Der Jugendstatus bis 18 Jahre ist klar und vollzugsfreundlich. Die Option der MV, Ehrenmitglieder von Beiträgen zu befreien, ist steuerrechtlich unproblematisch.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7 — Rechte und Pflichten der Mitglieder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DE7" w:val="clear"/>
            <w:tcMar>
              <w:top w:type="dxa" w:w="100"/>
              <w:left w:type="dxa" w:w="200"/>
              <w:bottom w:type="dxa" w:w="100"/>
              <w:right w:type="dxa" w:w="200"/>
            </w:tcMar>
          </w:tcPr>
          <w:p>
            <w:r>
              <w:rPr>
                <w:rFonts w:ascii="Calibri" w:cs="Calibri" w:eastAsia="Calibri" w:hAnsi="Calibri"/>
                <w:b/>
                <w:bCs/>
                <w:color w:val="4E342E"/>
                <w:sz w:val="24"/>
                <w:szCs w:val="24"/>
              </w:rPr>
              <w:t xml:space="preserve">🟡  Kleine Verbesserung möglich</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2 (Stimmrecht ab 16): Rechtlich zulässig. Das BGB schreibt kein Mindestalter vor; die Satzung kann das Stimmrecht abweichend von der vollen Geschäftsfähigkeit regeln. Die Altersgrenze 16 entspricht dem Trend moderner Jugendförderung. ✓</w:t>
      </w:r>
    </w:p>
    <w:p>
      <w:pPr>
        <w:pStyle w:val="ListParagraph"/>
        <w:numPr>
          <w:ilvl w:val="0"/>
          <w:numId w:val="1"/>
        </w:numPr>
        <w:spacing w:after="80"/>
      </w:pPr>
      <w:r>
        <w:rPr>
          <w:rFonts w:ascii="Calibri" w:cs="Calibri" w:eastAsia="Calibri" w:hAnsi="Calibri"/>
          <w:sz w:val="22"/>
          <w:szCs w:val="22"/>
        </w:rPr>
        <w:t xml:space="preserve">Abs. 3 (Fördermitglieder, Ehrenmitglieder): Konsequente Differenzierung. ✓</w:t>
      </w:r>
    </w:p>
    <w:p>
      <w:pPr>
        <w:pStyle w:val="ListParagraph"/>
        <w:numPr>
          <w:ilvl w:val="0"/>
          <w:numId w:val="1"/>
        </w:numPr>
        <w:spacing w:after="80"/>
      </w:pPr>
      <w:r>
        <w:rPr>
          <w:rFonts w:ascii="Calibri" w:cs="Calibri" w:eastAsia="Calibri" w:hAnsi="Calibri"/>
          <w:sz w:val="22"/>
          <w:szCs w:val="22"/>
        </w:rPr>
        <w:t xml:space="preserve">Abs. 4 (Stimmrecht nicht übertragbar): Wichtige Schutzregel gegen missbräuchliche Stimmrechtsbündelung. ✓</w:t>
      </w:r>
    </w:p>
    <w:p>
      <w:pPr>
        <w:pStyle w:val="ListParagraph"/>
        <w:numPr>
          <w:ilvl w:val="0"/>
          <w:numId w:val="1"/>
        </w:numPr>
        <w:spacing w:after="80"/>
      </w:pPr>
      <w:r>
        <w:rPr>
          <w:rFonts w:ascii="Calibri" w:cs="Calibri" w:eastAsia="Calibri" w:hAnsi="Calibri"/>
          <w:sz w:val="22"/>
          <w:szCs w:val="22"/>
        </w:rPr>
        <w:t xml:space="preserve">Abs. 5 (Volljährigkeit für § 26 BGB Vorstandsamt): Korrekt (§ 26 BGB i.V.m. allgemeiner Handlungsfähigkeit). ✓</w:t>
      </w:r>
    </w:p>
    <w:p>
      <w:pPr>
        <w:pStyle w:val="ListParagraph"/>
        <w:numPr>
          <w:ilvl w:val="0"/>
          <w:numId w:val="1"/>
        </w:numPr>
        <w:spacing w:after="80"/>
      </w:pPr>
      <w:r>
        <w:rPr>
          <w:rFonts w:ascii="Calibri" w:cs="Calibri" w:eastAsia="Calibri" w:hAnsi="Calibri"/>
          <w:sz w:val="22"/>
          <w:szCs w:val="22"/>
        </w:rPr>
        <w:t xml:space="preserve">Abs. 6d (Datenmitteilungspflicht): DSGVO-konform als Vertragserfüllungspflicht nach Art. 6 Abs. 1 lit. b. ✓</w:t>
      </w:r>
    </w:p>
    <w:p>
      <w:pPr>
        <w:pStyle w:val="ListParagraph"/>
        <w:numPr>
          <w:ilvl w:val="0"/>
          <w:numId w:val="1"/>
        </w:numPr>
        <w:spacing w:after="80"/>
      </w:pPr>
      <w:r>
        <w:rPr>
          <w:rFonts w:ascii="Calibri" w:cs="Calibri" w:eastAsia="Calibri" w:hAnsi="Calibri"/>
          <w:sz w:val="22"/>
          <w:szCs w:val="22"/>
        </w:rPr>
        <w:t xml:space="preserve">Abs. 7 (kein Anspruch auf bestimmte Trainingszeiten etc.): Praktisch bedeutsam; schließt die häufigste Anspruchsgrundlage für Streitigkeiten explizit aus. ✓</w:t>
      </w:r>
    </w:p>
    <w:p>
      <w:pPr>
        <w:spacing w:after="120"/>
        <w:ind/>
      </w:pPr>
      <w:r>
        <w:rPr>
          <w:rFonts w:ascii="Calibri" w:cs="Calibri" w:eastAsia="Calibri" w:hAnsi="Calibri"/>
          <w:b w:val="false"/>
          <w:bCs w:val="false"/>
          <w:color w:val="000000"/>
          <w:sz w:val="22"/>
          <w:szCs w:val="22"/>
        </w:rPr>
        <w:t xml:space="preserve">Lücke: Die Satzung enthält keine Regelung für schriftliche Abstimmungen der Mitgliederversammlung im Textformverfahren (Briefwahl/Online-Wahl). § 14 Abs. 5 verweist pauschal auf "gesetzliche Bestimmungen". § 32 Abs. 2 BGB n.F. lässt zwar Textformabstimmungen zu, wenn die Satzung dies ausdrücklich erlaubt — ohne diese Erlaubnis ist Einstimmigkeit erforderlich. Eine explizite Regelung schafft deutlich mehr Flexibilität.</w:t>
      </w:r>
    </w:p>
    <w:p>
      <w:pPr>
        <w:pStyle w:val="Heading3"/>
        <w:spacing w:after="80" w:before="240"/>
      </w:pPr>
      <w:r>
        <w:t xml:space="preserve">Verbesserungsvorschlag (alternativ in § 14 einfügbar)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7 neuer Abs. 8 (oder als § 14 Abs. 5 Neufassung):
"Beschlüsse der Mitgliederversammlung können außerhalb einer Versammlung im
Textformverfahren gefasst werden, wenn der Gesamtvorstand das Verfahren einleitet,
allen stimmberechtigten Mitgliedern die zur Abstimmung gestellte Frage mit einer
Frist von mindestens 14 Tagen mitteilt und das Ergebnis in Textform bekannt macht.
Angelegenheiten nach § 13 Abs. 6 S. 2 sind ausgenommen."</w:t>
            </w:r>
          </w:p>
        </w:tc>
      </w:tr>
    </w:tbl>
    <w:p>
      <w:pPr>
        <w:spacing w:after="120"/>
        <w:ind/>
      </w:pPr>
      <w:r>
        <w:rPr>
          <w:rFonts w:ascii="Calibri" w:cs="Calibri" w:eastAsia="Calibri" w:hAnsi="Calibri"/>
          <w:b w:val="false"/>
          <w:bCs w:val="false"/>
          <w:color w:val="000000"/>
          <w:sz w:val="22"/>
          <w:szCs w:val="22"/>
        </w:rPr>
        <w:t xml:space="preserve">Begründung der Änderung: Erhebliche praktische Flexibilität für dringende Beschlüsse zwischen MV-Terminen; entspricht § 32 Abs. 2 BGB n.F.; besonders wertvoll bei wachsender Mitgliederzahl und geographischer Streuung.</w:t>
      </w:r>
    </w:p>
    <w:p>
      <w:pPr>
        <w:pBdr>
          <w:bottom w:val="single" w:color="CCCCCC" w:sz="4"/>
        </w:pBdr>
        <w:spacing w:after="200" w:before="200"/>
      </w:pPr>
    </w:p>
    <w:p>
      <w:pPr>
        <w:pStyle w:val="Heading2"/>
        <w:spacing w:after="120" w:before="360"/>
      </w:pPr>
      <w:r>
        <w:t xml:space="preserve">§ 8 — Beiträge, Gebühren und Umlagen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Die Beitragsstruktur ist für einen Mehrspartenverein in der Aufbauphase optimal gestaltet.</w:t>
      </w:r>
    </w:p>
    <w:p>
      <w:pPr>
        <w:pStyle w:val="ListParagraph"/>
        <w:numPr>
          <w:ilvl w:val="0"/>
          <w:numId w:val="1"/>
        </w:numPr>
        <w:spacing w:after="80"/>
      </w:pPr>
      <w:r>
        <w:rPr>
          <w:rFonts w:ascii="Calibri" w:cs="Calibri" w:eastAsia="Calibri" w:hAnsi="Calibri"/>
          <w:sz w:val="22"/>
          <w:szCs w:val="22"/>
        </w:rPr>
        <w:t xml:space="preserve">Abs. 4 (Umlage bis 2× Jahresbeitrag): Wichtiger Schutz der Mitglieder; verhindert missbräuchliche Finanzierungsmodelle; praxisgerecht für Notfallsituationen. ✓</w:t>
      </w:r>
    </w:p>
    <w:p>
      <w:pPr>
        <w:pStyle w:val="ListParagraph"/>
        <w:numPr>
          <w:ilvl w:val="0"/>
          <w:numId w:val="1"/>
        </w:numPr>
        <w:spacing w:after="80"/>
      </w:pPr>
      <w:r>
        <w:rPr>
          <w:rFonts w:ascii="Calibri" w:cs="Calibri" w:eastAsia="Calibri" w:hAnsi="Calibri"/>
          <w:sz w:val="22"/>
          <w:szCs w:val="22"/>
        </w:rPr>
        <w:t xml:space="preserve">Abs. 3 (Delegierbarkeit innerhalb MV-Grenzen): Praxistauglich für Mehrspartenvereine. ✓</w:t>
      </w:r>
    </w:p>
    <w:p>
      <w:pPr>
        <w:pStyle w:val="ListParagraph"/>
        <w:numPr>
          <w:ilvl w:val="0"/>
          <w:numId w:val="1"/>
        </w:numPr>
        <w:spacing w:after="80"/>
      </w:pPr>
      <w:r>
        <w:rPr>
          <w:rFonts w:ascii="Calibri" w:cs="Calibri" w:eastAsia="Calibri" w:hAnsi="Calibri"/>
          <w:sz w:val="22"/>
          <w:szCs w:val="22"/>
        </w:rPr>
        <w:t xml:space="preserve">Abs. 5 (Einzelfallstundung durch Vorstand): Entspricht dem Inklusionsanspruch des Vereins; steuerrechtlich unproblematisch. ✓</w:t>
      </w:r>
    </w:p>
    <w:p>
      <w:pPr>
        <w:pStyle w:val="ListParagraph"/>
        <w:numPr>
          <w:ilvl w:val="0"/>
          <w:numId w:val="1"/>
        </w:numPr>
        <w:spacing w:after="80"/>
      </w:pPr>
      <w:r>
        <w:rPr>
          <w:rFonts w:ascii="Calibri" w:cs="Calibri" w:eastAsia="Calibri" w:hAnsi="Calibri"/>
          <w:sz w:val="22"/>
          <w:szCs w:val="22"/>
        </w:rPr>
        <w:t xml:space="preserve">Abs. 6 (Beitragspflicht trotz Nichtnutzung): Entspricht BGH-Rechtsprechung.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9 — Beendigung der Mitgliedschaft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3E0" w:val="clear"/>
            <w:tcMar>
              <w:top w:type="dxa" w:w="100"/>
              <w:left w:type="dxa" w:w="200"/>
              <w:bottom w:type="dxa" w:w="100"/>
              <w:right w:type="dxa" w:w="200"/>
            </w:tcMar>
          </w:tcPr>
          <w:p>
            <w:r>
              <w:rPr>
                <w:rFonts w:ascii="Calibri" w:cs="Calibri" w:eastAsia="Calibri" w:hAnsi="Calibri"/>
                <w:b/>
                <w:bCs/>
                <w:color w:val="BF360C"/>
                <w:sz w:val="24"/>
                <w:szCs w:val="24"/>
              </w:rPr>
              <w:t xml:space="preserve">🟠  Verbesserung empfohlen</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2 (Kündigung zum Quartalsende): Rechtlich zulässig; die Öffnungsklausel für die Beitragsordnung nimmt die Strenge. Allerdings ist eine Frist von durchschnittlich ~2 Monaten lang und kann Mitglieder abschrecken. Kein unmittelbarer Änderungsbedarf. ✓</w:t>
      </w:r>
    </w:p>
    <w:p>
      <w:pPr>
        <w:pStyle w:val="ListParagraph"/>
        <w:numPr>
          <w:ilvl w:val="0"/>
          <w:numId w:val="1"/>
        </w:numPr>
        <w:spacing w:after="80"/>
      </w:pPr>
      <w:r>
        <w:rPr>
          <w:rFonts w:ascii="Calibri" w:cs="Calibri" w:eastAsia="Calibri" w:hAnsi="Calibri"/>
          <w:sz w:val="22"/>
          <w:szCs w:val="22"/>
        </w:rPr>
        <w:t xml:space="preserve">Abs. 3 (Streichung bei Beitragsrückstand): Das Zwei-Mahnungs-Verfahren mit 14-Tage-Mindestfrist entspricht der BGH-Rechtsprechung. ✓</w:t>
      </w:r>
    </w:p>
    <w:p>
      <w:pPr>
        <w:pStyle w:val="ListParagraph"/>
        <w:numPr>
          <w:ilvl w:val="0"/>
          <w:numId w:val="1"/>
        </w:numPr>
        <w:spacing w:after="80"/>
      </w:pPr>
      <w:r>
        <w:rPr>
          <w:rFonts w:ascii="Calibri" w:cs="Calibri" w:eastAsia="Calibri" w:hAnsi="Calibri"/>
          <w:sz w:val="22"/>
          <w:szCs w:val="22"/>
        </w:rPr>
        <w:t xml:space="preserve">Abs. 5 (Anhörung vor Ausschluss): Korrekt und ausreichend. ✓</w:t>
      </w:r>
    </w:p>
    <w:p>
      <w:pPr>
        <w:spacing w:after="120"/>
        <w:ind/>
      </w:pPr>
      <w:r>
        <w:rPr>
          <w:rFonts w:ascii="Calibri" w:cs="Calibri" w:eastAsia="Calibri" w:hAnsi="Calibri"/>
          <w:b w:val="false"/>
          <w:bCs w:val="false"/>
          <w:color w:val="000000"/>
          <w:sz w:val="22"/>
          <w:szCs w:val="22"/>
        </w:rPr>
        <w:t xml:space="preserve">Kritisches Risiko — Abs. 6 (Berufungsfrist): Die Berufung gegen einen Ausschluss geht zur "nächsten Mitgliederversammlung". Bei einem kleinen Verein, dessen ordentliche MV jährlich stattfindet, könnte ein ausgeschlossenes Mitglied bis zu 11 Monate in einem Schwebezustand verbleiben — bei gleichzeitig beschränkten Rechten (Abs. 6 S. 3). Dies ist zwar privatrechtlich nicht per se unzulässig, birgt aber Anfechtungsrisiken auf Basis von § 242 BGB (Verhältnismäßigkeit, Grundsatz des fairen Verfahrens).</w:t>
      </w:r>
    </w:p>
    <w:p>
      <w:pPr>
        <w:spacing w:after="120"/>
        <w:ind/>
      </w:pPr>
      <w:r>
        <w:rPr>
          <w:rFonts w:ascii="Calibri" w:cs="Calibri" w:eastAsia="Calibri" w:hAnsi="Calibri"/>
          <w:b w:val="false"/>
          <w:bCs w:val="false"/>
          <w:color w:val="000000"/>
          <w:sz w:val="22"/>
          <w:szCs w:val="22"/>
        </w:rPr>
        <w:t xml:space="preserve">Die BGH-Rechtsprechung (zuletzt BGH II ZR 65/21) stärkt die Anforderungen an vereinsrechtliche Verfahrensgerechtigkeit. Ein langes Zuwarten ohne Berufungsmöglichkeit kann in Extremfällen zur Unwirksamkeit des Ausschlusses führen.</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9 Abs. 6 — Ergänzung nach Satz 1:
"Liegt die nächste ordentliche Mitgliederversammlung mehr als vier Monate nach
Eingang der Berufungsschrift beim Gesamtvorstand, kann das ausgeschlossene
Mitglied verlangen, dass innerhalb von sechs Wochen eine außerordentliche
Mitgliederversammlung zur Entscheidung über die Berufung einberufen wird."</w:t>
            </w:r>
          </w:p>
        </w:tc>
      </w:tr>
    </w:tbl>
    <w:p>
      <w:pPr>
        <w:spacing w:after="120"/>
        <w:ind/>
      </w:pPr>
      <w:r>
        <w:rPr>
          <w:rFonts w:ascii="Calibri" w:cs="Calibri" w:eastAsia="Calibri" w:hAnsi="Calibri"/>
          <w:b w:val="false"/>
          <w:bCs w:val="false"/>
          <w:color w:val="000000"/>
          <w:sz w:val="22"/>
          <w:szCs w:val="22"/>
        </w:rPr>
        <w:t xml:space="preserve">Begründung der Änderung: Sicherstellung eines zeitnahen Rechtsbehelfs; Einhaltung des Grundsatzes des fairen Verfahrens nach BGH-Rechtsprechung; Minimierung des Anfechtungsrisikos für den Ausschlussbeschluss.</w:t>
      </w:r>
    </w:p>
    <w:p>
      <w:pPr>
        <w:pBdr>
          <w:bottom w:val="single" w:color="CCCCCC" w:sz="4"/>
        </w:pBdr>
        <w:spacing w:after="200" w:before="200"/>
      </w:pPr>
    </w:p>
    <w:p>
      <w:pPr>
        <w:pStyle w:val="Heading2"/>
        <w:spacing w:after="120" w:before="360"/>
      </w:pPr>
      <w:r>
        <w:t xml:space="preserve">§ 10 — Ordnungsmaßnahmen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DE7" w:val="clear"/>
            <w:tcMar>
              <w:top w:type="dxa" w:w="100"/>
              <w:left w:type="dxa" w:w="200"/>
              <w:bottom w:type="dxa" w:w="100"/>
              <w:right w:type="dxa" w:w="200"/>
            </w:tcMar>
          </w:tcPr>
          <w:p>
            <w:r>
              <w:rPr>
                <w:rFonts w:ascii="Calibri" w:cs="Calibri" w:eastAsia="Calibri" w:hAnsi="Calibri"/>
                <w:b/>
                <w:bCs/>
                <w:color w:val="4E342E"/>
                <w:sz w:val="24"/>
                <w:szCs w:val="24"/>
              </w:rPr>
              <w:t xml:space="preserve">🟡  Kleine Verbesserung möglich</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1e (Geldbuße nur auf Basis MV-Ordnung): Entspricht BGH-Rechtsprechung (BGH II ZR 191/86). Ohne Satzungsgrundlage sind Geldbußen in eingetragenen Vereinen grundsätzlich unzulässig. ✓</w:t>
      </w:r>
    </w:p>
    <w:p>
      <w:pPr>
        <w:pStyle w:val="ListParagraph"/>
        <w:numPr>
          <w:ilvl w:val="0"/>
          <w:numId w:val="1"/>
        </w:numPr>
        <w:spacing w:after="80"/>
      </w:pPr>
      <w:r>
        <w:rPr>
          <w:rFonts w:ascii="Calibri" w:cs="Calibri" w:eastAsia="Calibri" w:hAnsi="Calibri"/>
          <w:sz w:val="22"/>
          <w:szCs w:val="22"/>
        </w:rPr>
        <w:t xml:space="preserve">Abs. 2 (Anhörung, Begründung, Textform): Prozessuale Mindeststandards sind erfüllt. ✓</w:t>
      </w:r>
    </w:p>
    <w:p>
      <w:pPr>
        <w:pStyle w:val="ListParagraph"/>
        <w:numPr>
          <w:ilvl w:val="0"/>
          <w:numId w:val="1"/>
        </w:numPr>
        <w:spacing w:after="80"/>
      </w:pPr>
      <w:r>
        <w:rPr>
          <w:rFonts w:ascii="Calibri" w:cs="Calibri" w:eastAsia="Calibri" w:hAnsi="Calibri"/>
          <w:sz w:val="22"/>
          <w:szCs w:val="22"/>
        </w:rPr>
        <w:t xml:space="preserve">Abs. 3 (Verweis auf MV-Ordnung für befristete Maßnahmen): Korrekte Zuständigkeitsabgrenzung. ✓</w:t>
      </w:r>
    </w:p>
    <w:p>
      <w:pPr>
        <w:spacing w:after="120"/>
        <w:ind/>
      </w:pPr>
      <w:r>
        <w:rPr>
          <w:rFonts w:ascii="Calibri" w:cs="Calibri" w:eastAsia="Calibri" w:hAnsi="Calibri"/>
          <w:b w:val="false"/>
          <w:bCs w:val="false"/>
          <w:color w:val="000000"/>
          <w:sz w:val="22"/>
          <w:szCs w:val="22"/>
        </w:rPr>
        <w:t xml:space="preserve">Fehlende Regelung — Verjährung: Es gibt keine Regelung, binnen welcher Frist eine Ordnungsmaßnahme nach Kenntnis der Pflichtverletzung ergriffen werden muss. Ohne Fristregelung könnte der Gesamtvorstand theoretisch Jahre nach einem Vorfall noch eine Maßnahme verhängen — was vor staatlichen Gerichten als Verstoß gegen § 242 BGB (Verwirkung) oder als unverhältnismäßig bewertet werden könnte.</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10 neuer Abs. 4:
"(4) Ordnungsmaßnahmen nach Abs. 1 können nur innerhalb von zwei Jahren nach
positiver Kenntnis des Gesamtvorstands vom maßgeblichen Sachverhalt verhängt
werden. Bei strafrechtlich relevanten Handlungen gilt diese Frist erst ab
rechtskräftiger Verurteilung oder Einstellung des Verfahrens."</w:t>
            </w:r>
          </w:p>
        </w:tc>
      </w:tr>
    </w:tbl>
    <w:p>
      <w:pPr>
        <w:spacing w:after="120"/>
        <w:ind/>
      </w:pPr>
      <w:r>
        <w:rPr>
          <w:rFonts w:ascii="Calibri" w:cs="Calibri" w:eastAsia="Calibri" w:hAnsi="Calibri"/>
          <w:b w:val="false"/>
          <w:bCs w:val="false"/>
          <w:color w:val="000000"/>
          <w:sz w:val="22"/>
          <w:szCs w:val="22"/>
        </w:rPr>
        <w:t xml:space="preserve">Begründung der Änderung: Rechtssicherheit für alle Beteiligten; Verhinderung missbräuchlicher Verwendung alter Vorwürfe; entspricht dem Verhältnismäßigkeitsgrundsatz.</w:t>
      </w:r>
    </w:p>
    <w:p>
      <w:pPr>
        <w:pBdr>
          <w:bottom w:val="single" w:color="CCCCCC" w:sz="4"/>
        </w:pBdr>
        <w:spacing w:after="200" w:before="200"/>
      </w:pPr>
    </w:p>
    <w:p>
      <w:pPr>
        <w:pStyle w:val="Heading2"/>
        <w:spacing w:after="120" w:before="360"/>
      </w:pPr>
      <w:r>
        <w:t xml:space="preserve">§ 11 — Sportabteilungen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 11 ist eine der herausragenden Stärken dieser Satzung. Die Regelung ist für einen wachsenden Mehrspartenverein ausgezeichnet strukturiert.</w:t>
      </w:r>
    </w:p>
    <w:p>
      <w:pPr>
        <w:pStyle w:val="ListParagraph"/>
        <w:numPr>
          <w:ilvl w:val="0"/>
          <w:numId w:val="1"/>
        </w:numPr>
        <w:spacing w:after="80"/>
      </w:pPr>
      <w:r>
        <w:rPr>
          <w:rFonts w:ascii="Calibri" w:cs="Calibri" w:eastAsia="Calibri" w:hAnsi="Calibri"/>
          <w:sz w:val="22"/>
          <w:szCs w:val="22"/>
        </w:rPr>
        <w:t xml:space="preserve">Abs. 3 (steuerliche Unselbstständigkeit, kein eigenes Vermögen): Steuerrechtlich absolut zwingend. Ohne diese Klarstellung besteht das Risiko, dass einzelne Abteilungen als eigenständige steuerliche Körperschaften behandelt werden — mit entsprechendem Gemeinnützigkeitsrisiko. ✓✓</w:t>
      </w:r>
    </w:p>
    <w:p>
      <w:pPr>
        <w:pStyle w:val="ListParagraph"/>
        <w:numPr>
          <w:ilvl w:val="0"/>
          <w:numId w:val="1"/>
        </w:numPr>
        <w:spacing w:after="80"/>
      </w:pPr>
      <w:r>
        <w:rPr>
          <w:rFonts w:ascii="Calibri" w:cs="Calibri" w:eastAsia="Calibri" w:hAnsi="Calibri"/>
          <w:sz w:val="22"/>
          <w:szCs w:val="22"/>
        </w:rPr>
        <w:t xml:space="preserve">Abs. 2 (MV-Zustimmung bei wesentlicher Abteilungsauflösung): Die Schwelle von 1/3 der aktiven Mitglieder ist angemessen und schützt vor Vorstands-Alleingängen. ✓</w:t>
      </w:r>
    </w:p>
    <w:p>
      <w:pPr>
        <w:pStyle w:val="ListParagraph"/>
        <w:numPr>
          <w:ilvl w:val="0"/>
          <w:numId w:val="1"/>
        </w:numPr>
        <w:spacing w:after="80"/>
      </w:pPr>
      <w:r>
        <w:rPr>
          <w:rFonts w:ascii="Calibri" w:cs="Calibri" w:eastAsia="Calibri" w:hAnsi="Calibri"/>
          <w:sz w:val="22"/>
          <w:szCs w:val="22"/>
        </w:rPr>
        <w:t xml:space="preserve">Abs. 4 (Abteilungsversammlung): Weisungsgebundenheit gegenüber Satzung und Vereinsorganen ist explizit sichergestellt. ✓</w:t>
      </w:r>
    </w:p>
    <w:p>
      <w:pPr>
        <w:pStyle w:val="ListParagraph"/>
        <w:numPr>
          <w:ilvl w:val="0"/>
          <w:numId w:val="1"/>
        </w:numPr>
        <w:spacing w:after="80"/>
      </w:pPr>
      <w:r>
        <w:rPr>
          <w:rFonts w:ascii="Calibri" w:cs="Calibri" w:eastAsia="Calibri" w:hAnsi="Calibri"/>
          <w:sz w:val="22"/>
          <w:szCs w:val="22"/>
        </w:rPr>
        <w:t xml:space="preserve">Abs. 6 (einheitliche Buchführung): Finanzamtskonform und prüfungssicher. ✓</w:t>
      </w:r>
    </w:p>
    <w:p>
      <w:pPr>
        <w:pStyle w:val="ListParagraph"/>
        <w:numPr>
          <w:ilvl w:val="0"/>
          <w:numId w:val="1"/>
        </w:numPr>
        <w:spacing w:after="80"/>
      </w:pPr>
      <w:r>
        <w:rPr>
          <w:rFonts w:ascii="Calibri" w:cs="Calibri" w:eastAsia="Calibri" w:hAnsi="Calibri"/>
          <w:sz w:val="22"/>
          <w:szCs w:val="22"/>
        </w:rPr>
        <w:t xml:space="preserve">Abs. 8 (Abteilungsleitung ohne Vertretungsmacht): Entscheidende Klarstellung. Ohne diese Regelung könnten externe Dritte gutgläubig auf eine Vertretungsmacht der Abteilungsleitung vertrauen.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12 — Organe des Vereins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für aktuelle Vereinsgröße</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Die Zweistufigkeit (Mitgliederversammlung und Gesamtvorstand) ist für die aktuelle Vereinsgröße optimal. Kassenprüfende sind nach BGH-Rechtsprechung kein Organ in formalem Sinne — die Nichtnenneng ist korrekt. Die einfache Struktur vermeidet unnötige Governance-Komplexität, ist vollständig beschlussfähig und registerfreundlich.</w:t>
      </w:r>
    </w:p>
    <w:p>
      <w:pPr>
        <w:spacing w:after="120"/>
        <w:ind/>
      </w:pPr>
      <w:r>
        <w:rPr>
          <w:rFonts w:ascii="Calibri" w:cs="Calibri" w:eastAsia="Calibri" w:hAnsi="Calibri"/>
          <w:b w:val="false"/>
          <w:bCs w:val="false"/>
          <w:color w:val="000000"/>
          <w:sz w:val="22"/>
          <w:szCs w:val="22"/>
        </w:rPr>
        <w:t xml:space="preserve">Zukunftshinweis (kein aktueller Änderungsbedarf): Bei erheblichem Wachstum (&gt;500 Mitglieder, hauptamtliche Geschäftsführung, öffentliche Fördermittel) empfiehlt sich die Überprüfung, ob ein ergänzendes Kontrollorgan (z.B. Aufsichtsrat oder erweiterter Beirat mit Kontrollrechten) sinnvoll wäre. Dies kann durch eine dann erforderliche Satzungsänderung eingefügt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13 — Mitgliederversammlung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DE7" w:val="clear"/>
            <w:tcMar>
              <w:top w:type="dxa" w:w="100"/>
              <w:left w:type="dxa" w:w="200"/>
              <w:bottom w:type="dxa" w:w="100"/>
              <w:right w:type="dxa" w:w="200"/>
            </w:tcMar>
          </w:tcPr>
          <w:p>
            <w:r>
              <w:rPr>
                <w:rFonts w:ascii="Calibri" w:cs="Calibri" w:eastAsia="Calibri" w:hAnsi="Calibri"/>
                <w:b/>
                <w:bCs/>
                <w:color w:val="4E342E"/>
                <w:sz w:val="24"/>
                <w:szCs w:val="24"/>
              </w:rPr>
              <w:t xml:space="preserve">🟡  Kleine Verbesserung möglich</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3 (Einladungsfrist 2 Wochen): Gesetzliches Minimum. Registerrechtlich ausreichend. Für eine wachsende Organisation mit 37+ Mitgliedern und ggf. internationaler Reichweite wäre eine 3-Wochen-Frist praxistauglicher. ✓ (aber verbesserbar)</w:t>
      </w:r>
    </w:p>
    <w:p>
      <w:pPr>
        <w:pStyle w:val="ListParagraph"/>
        <w:numPr>
          <w:ilvl w:val="0"/>
          <w:numId w:val="1"/>
        </w:numPr>
        <w:spacing w:after="80"/>
      </w:pPr>
      <w:r>
        <w:rPr>
          <w:rFonts w:ascii="Calibri" w:cs="Calibri" w:eastAsia="Calibri" w:hAnsi="Calibri"/>
          <w:sz w:val="22"/>
          <w:szCs w:val="22"/>
        </w:rPr>
        <w:t xml:space="preserve">Abs. 4 (virtuelle und hybride Versammlungen): Seit der BGB-Reform 2022 (§ 32 Abs. 2 BGB n.F.) müssen Satzungen virtuelle MV ausdrücklich erlauben — das ist hier korrekt und explizit umgesetzt. Die Anforderung, Zugangswege in der Einladung zu beschreiben, verhindert Anfechtungsrisiken. ✓</w:t>
      </w:r>
    </w:p>
    <w:p>
      <w:pPr>
        <w:pStyle w:val="ListParagraph"/>
        <w:numPr>
          <w:ilvl w:val="0"/>
          <w:numId w:val="1"/>
        </w:numPr>
        <w:spacing w:after="80"/>
      </w:pPr>
      <w:r>
        <w:rPr>
          <w:rFonts w:ascii="Calibri" w:cs="Calibri" w:eastAsia="Calibri" w:hAnsi="Calibri"/>
          <w:sz w:val="22"/>
          <w:szCs w:val="22"/>
        </w:rPr>
        <w:t xml:space="preserve">Abs. 5 (technische Störungen): Exzellent. Die Differenzierung zwischen mitgliedsindividuellen (unschädlich) und vereinsseitigen Störungen (Unterbrechungspflicht) ist präzise und verhindert die häufigste Anfechtungsgrundlage für Online-Versammlungen. ✓✓</w:t>
      </w:r>
    </w:p>
    <w:p>
      <w:pPr>
        <w:pStyle w:val="ListParagraph"/>
        <w:numPr>
          <w:ilvl w:val="0"/>
          <w:numId w:val="1"/>
        </w:numPr>
        <w:spacing w:after="80"/>
      </w:pPr>
      <w:r>
        <w:rPr>
          <w:rFonts w:ascii="Calibri" w:cs="Calibri" w:eastAsia="Calibri" w:hAnsi="Calibri"/>
          <w:sz w:val="22"/>
          <w:szCs w:val="22"/>
        </w:rPr>
        <w:t xml:space="preserve">Abs. 6 (Tagesordnungsergänzung und Dringlichkeitsantrag): Die Ausschlussliste (Satzungsänderungen, Wahlen, Abberufungen, Umlagen, Auflösung) ist vollständig. ✓</w:t>
      </w:r>
    </w:p>
    <w:p>
      <w:pPr>
        <w:pStyle w:val="ListParagraph"/>
        <w:numPr>
          <w:ilvl w:val="0"/>
          <w:numId w:val="1"/>
        </w:numPr>
        <w:spacing w:after="80"/>
      </w:pPr>
      <w:r>
        <w:rPr>
          <w:rFonts w:ascii="Calibri" w:cs="Calibri" w:eastAsia="Calibri" w:hAnsi="Calibri"/>
          <w:sz w:val="22"/>
          <w:szCs w:val="22"/>
        </w:rPr>
        <w:t xml:space="preserve">Abs. 8 (Beschlussfähigkeit ohne Quorum): Verhindert Nicht-Beschlussfähigkeit; entspricht Berliner Registerpraxis. ✓</w:t>
      </w:r>
    </w:p>
    <w:p>
      <w:pPr>
        <w:pStyle w:val="ListParagraph"/>
        <w:numPr>
          <w:ilvl w:val="0"/>
          <w:numId w:val="1"/>
        </w:numPr>
        <w:spacing w:after="80"/>
      </w:pPr>
      <w:r>
        <w:rPr>
          <w:rFonts w:ascii="Calibri" w:cs="Calibri" w:eastAsia="Calibri" w:hAnsi="Calibri"/>
          <w:sz w:val="22"/>
          <w:szCs w:val="22"/>
        </w:rPr>
        <w:t xml:space="preserve">Abs. 9 (Protokollinhalt): Mindestinhalt klar definiert. Die Anforderung der Unterschrift von Versammlungsleitung und Protokollführung ist korrekt. ✓</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13 Abs. 3 — Fristerhöhung:
"[...] unter Einhaltung einer Frist von mindestens drei Wochen [...]"</w:t>
            </w:r>
          </w:p>
        </w:tc>
      </w:tr>
    </w:tbl>
    <w:p>
      <w:pPr>
        <w:spacing w:after="120"/>
        <w:ind/>
      </w:pPr>
      <w:r>
        <w:rPr>
          <w:rFonts w:ascii="Calibri" w:cs="Calibri" w:eastAsia="Calibri" w:hAnsi="Calibri"/>
          <w:b w:val="false"/>
          <w:bCs w:val="false"/>
          <w:color w:val="000000"/>
          <w:sz w:val="22"/>
          <w:szCs w:val="22"/>
        </w:rPr>
        <w:t xml:space="preserve">Begründung der Änderung: Bessere Vorbereitung für Mitglieder; ausreichend Zeit für internationale Mitglieder; kein registerrechtliches oder sonstiges Risiko; empfohlener Standard für gemeinnützige Sportvereine.</w:t>
      </w:r>
    </w:p>
    <w:p>
      <w:pPr>
        <w:pBdr>
          <w:bottom w:val="single" w:color="CCCCCC" w:sz="4"/>
        </w:pBdr>
        <w:spacing w:after="200" w:before="200"/>
      </w:pPr>
    </w:p>
    <w:p>
      <w:pPr>
        <w:pStyle w:val="Heading2"/>
        <w:spacing w:after="120" w:before="360"/>
      </w:pPr>
      <w:r>
        <w:t xml:space="preserve">§ 14 — Zuständigkeit und Beschlussfassung der Mitgliederversammlung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DE7" w:val="clear"/>
            <w:tcMar>
              <w:top w:type="dxa" w:w="100"/>
              <w:left w:type="dxa" w:w="200"/>
              <w:bottom w:type="dxa" w:w="100"/>
              <w:right w:type="dxa" w:w="200"/>
            </w:tcMar>
          </w:tcPr>
          <w:p>
            <w:r>
              <w:rPr>
                <w:rFonts w:ascii="Calibri" w:cs="Calibri" w:eastAsia="Calibri" w:hAnsi="Calibri"/>
                <w:b/>
                <w:bCs/>
                <w:color w:val="4E342E"/>
                <w:sz w:val="24"/>
                <w:szCs w:val="24"/>
              </w:rPr>
              <w:t xml:space="preserve">🟡  Kleine Verbesserung möglich</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1 (Zuständigkeitskatalog): Vollständig und korrekt; alle wesentlichen MV-Zuständigkeiten sind aufgeführt, einschließlich Vergütungsentscheidungen für Vorstandsmitglieder (§ 3 Abs. 5/6). ✓</w:t>
      </w:r>
    </w:p>
    <w:p>
      <w:pPr>
        <w:pStyle w:val="ListParagraph"/>
        <w:numPr>
          <w:ilvl w:val="0"/>
          <w:numId w:val="1"/>
        </w:numPr>
        <w:spacing w:after="80"/>
      </w:pPr>
      <w:r>
        <w:rPr>
          <w:rFonts w:ascii="Calibri" w:cs="Calibri" w:eastAsia="Calibri" w:hAnsi="Calibri"/>
          <w:sz w:val="22"/>
          <w:szCs w:val="22"/>
        </w:rPr>
        <w:t xml:space="preserve">Abs. 2 (einfache Mehrheit; Stimmenthaltungen außer Betracht): Entspricht BGH-Rechtsprechung. ✓</w:t>
      </w:r>
    </w:p>
    <w:p>
      <w:pPr>
        <w:pStyle w:val="ListParagraph"/>
        <w:numPr>
          <w:ilvl w:val="0"/>
          <w:numId w:val="1"/>
        </w:numPr>
        <w:spacing w:after="80"/>
      </w:pPr>
      <w:r>
        <w:rPr>
          <w:rFonts w:ascii="Calibri" w:cs="Calibri" w:eastAsia="Calibri" w:hAnsi="Calibri"/>
          <w:sz w:val="22"/>
          <w:szCs w:val="22"/>
        </w:rPr>
        <w:t xml:space="preserve">Abs. 3 (Wahl: absolute Mehrheit, Stichwahl, Los): Dieses System ist fair, klar und konform. ✓</w:t>
      </w:r>
    </w:p>
    <w:p>
      <w:pPr>
        <w:spacing w:after="120"/>
        <w:ind/>
      </w:pPr>
      <w:r>
        <w:rPr>
          <w:rFonts w:ascii="Calibri" w:cs="Calibri" w:eastAsia="Calibri" w:hAnsi="Calibri"/>
          <w:b w:val="false"/>
          <w:bCs w:val="false"/>
          <w:color w:val="000000"/>
          <w:sz w:val="22"/>
          <w:szCs w:val="22"/>
        </w:rPr>
        <w:t xml:space="preserve">Lücke — Abs. 5: Die Formulierung "nach Maßgabe der gesetzlichen Bestimmungen" für Beschlüsse außerhalb einer MV ist zu unbestimmt. § 32 Abs. 2 BGB n.F. erlaubt Textformabstimmungen, wenn die Satzung dies gestattet — ohne Satzungsermächtigung ist Einstimmigkeit aller Mitglieder erforderlich. Die Ergänzung um ein explizites Verfahren schafft erheblich mehr Handlungsspielraum (insb. für dringende Beschlüsse ohne Vollversammlung).</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14 Abs. 5 — Neufassung:
"(5) Beschlüsse der Mitgliederversammlung können außerhalb einer Versammlung
im Textformverfahren gefasst werden, wenn der Gesamtvorstand das Verfahren
einleitet, allen stimmberechtigten Mitgliedern die Beschlussvorlage mit einer
Mindestabstimmungsfrist von 14 Tagen mitteilt und das Ergebnis unverzüglich
in Textform bekannt macht. Für Mehrheitserfordernisse und Beschlussgegenstände
gelten die übrigen Vorschriften dieser Satzung entsprechend. Angelegenheiten
nach § 13 Abs. 6 S. 2 sind ausgenommen."</w:t>
            </w:r>
          </w:p>
        </w:tc>
      </w:tr>
    </w:tbl>
    <w:p>
      <w:pPr>
        <w:spacing w:after="120"/>
        <w:ind/>
      </w:pPr>
      <w:r>
        <w:rPr>
          <w:rFonts w:ascii="Calibri" w:cs="Calibri" w:eastAsia="Calibri" w:hAnsi="Calibri"/>
          <w:b w:val="false"/>
          <w:bCs w:val="false"/>
          <w:color w:val="000000"/>
          <w:sz w:val="22"/>
          <w:szCs w:val="22"/>
        </w:rPr>
        <w:t xml:space="preserve">Begründung der Änderung: Wesentliche operative Flexibilität; entspricht § 32 Abs. 2 BGB n.F.; vermeidet das Einstimmigkeitserfordernis; praxisrelevant für dringende Entscheidungen zwischen MV-Terminen.</w:t>
      </w:r>
    </w:p>
    <w:p>
      <w:pPr>
        <w:pBdr>
          <w:bottom w:val="single" w:color="CCCCCC" w:sz="4"/>
        </w:pBdr>
        <w:spacing w:after="200" w:before="200"/>
      </w:pPr>
    </w:p>
    <w:p>
      <w:pPr>
        <w:pStyle w:val="Heading2"/>
        <w:spacing w:after="120" w:before="360"/>
      </w:pPr>
      <w:r>
        <w:t xml:space="preserve">§ 15 — Gesamtvorstand und Vertretung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DE7" w:val="clear"/>
            <w:tcMar>
              <w:top w:type="dxa" w:w="100"/>
              <w:left w:type="dxa" w:w="200"/>
              <w:bottom w:type="dxa" w:w="100"/>
              <w:right w:type="dxa" w:w="200"/>
            </w:tcMar>
          </w:tcPr>
          <w:p>
            <w:r>
              <w:rPr>
                <w:rFonts w:ascii="Calibri" w:cs="Calibri" w:eastAsia="Calibri" w:hAnsi="Calibri"/>
                <w:b/>
                <w:bCs/>
                <w:color w:val="4E342E"/>
                <w:sz w:val="24"/>
                <w:szCs w:val="24"/>
              </w:rPr>
              <w:t xml:space="preserve">🟡  Kleine Verbesserung möglich</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1–2 (Zusammensetzung; § 26 BGB-Differenzierung): Die klare Unterscheidung zwischen Gesamtvorstand (4 Personen) und § 26 BGB-Vorstand (3 Personen) ist hervorragend und vermeidet ein häufiges Registerproblem, bei dem der Sportdirektor irrtümlich als Vertreter nach außen auftritt. ✓</w:t>
      </w:r>
    </w:p>
    <w:p>
      <w:pPr>
        <w:pStyle w:val="ListParagraph"/>
        <w:numPr>
          <w:ilvl w:val="0"/>
          <w:numId w:val="1"/>
        </w:numPr>
        <w:spacing w:after="80"/>
      </w:pPr>
      <w:r>
        <w:rPr>
          <w:rFonts w:ascii="Calibri" w:cs="Calibri" w:eastAsia="Calibri" w:hAnsi="Calibri"/>
          <w:sz w:val="22"/>
          <w:szCs w:val="22"/>
        </w:rPr>
        <w:t xml:space="preserve">Abs. 3 (Gemeinschaftsvertretung durch 2 von 3 § 26-Mitgliedern): Schützt vor Alleingängen; praxistauglich bei einer dreiköpfigen Vertretungsgruppe. ✓</w:t>
      </w:r>
    </w:p>
    <w:p>
      <w:pPr>
        <w:pStyle w:val="ListParagraph"/>
        <w:numPr>
          <w:ilvl w:val="0"/>
          <w:numId w:val="1"/>
        </w:numPr>
        <w:spacing w:after="80"/>
      </w:pPr>
      <w:r>
        <w:rPr>
          <w:rFonts w:ascii="Calibri" w:cs="Calibri" w:eastAsia="Calibri" w:hAnsi="Calibri"/>
          <w:sz w:val="22"/>
          <w:szCs w:val="22"/>
        </w:rPr>
        <w:t xml:space="preserve">Abs. 5 (Kommissarische Berufung; 8-Wochen-Frist): Gut durchdacht; verhindert Handlungsunfähigkeit bei Vakanzen. ✓</w:t>
      </w:r>
    </w:p>
    <w:p>
      <w:pPr>
        <w:pStyle w:val="ListParagraph"/>
        <w:numPr>
          <w:ilvl w:val="0"/>
          <w:numId w:val="1"/>
        </w:numPr>
        <w:spacing w:after="80"/>
      </w:pPr>
      <w:r>
        <w:rPr>
          <w:rFonts w:ascii="Calibri" w:cs="Calibri" w:eastAsia="Calibri" w:hAnsi="Calibri"/>
          <w:sz w:val="22"/>
          <w:szCs w:val="22"/>
        </w:rPr>
        <w:t xml:space="preserve">Abs. 7 (Ämterhäufungsverbot): Wichtige Governance-Regel. ✓</w:t>
      </w:r>
    </w:p>
    <w:p>
      <w:pPr>
        <w:spacing w:after="120"/>
        <w:ind/>
      </w:pPr>
      <w:r>
        <w:rPr>
          <w:rFonts w:ascii="Calibri" w:cs="Calibri" w:eastAsia="Calibri" w:hAnsi="Calibri"/>
          <w:b w:val="false"/>
          <w:bCs w:val="false"/>
          <w:color w:val="000000"/>
          <w:sz w:val="22"/>
          <w:szCs w:val="22"/>
        </w:rPr>
        <w:t xml:space="preserve">Fehlende Öffnungsklausel — Gestaffelte Amtszeiten: Alle vier Vorstandsmitglieder werden gleichzeitig gewählt. Bei einem vollständigen Vorstandswechsel geht das gesamte institutionelle Gedächtnis verloren. Die Möglichkeit, gestaffelte Amtszeiten zu beschließen (z.B. 1. und 2. Vorsitzender in einem Jahr, Schatzmeister und Sportdirektor im Folgejahr), wäre eine optionale Öffnungsklausel ohne operativen Nachteil.</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15 Abs. 4 — Ergänzung Satz 3:
"Die Mitgliederversammlung kann beschließen, die Amtszeiten der
Gesamtvorstandsmitglieder zeitlich zu staffeln, um eine personelle
Kontinuität zu gewährleisten. Näheres regelt die Wahlordnung."</w:t>
            </w:r>
          </w:p>
        </w:tc>
      </w:tr>
    </w:tbl>
    <w:p>
      <w:pPr>
        <w:spacing w:after="120"/>
        <w:ind/>
      </w:pPr>
      <w:r>
        <w:rPr>
          <w:rFonts w:ascii="Calibri" w:cs="Calibri" w:eastAsia="Calibri" w:hAnsi="Calibri"/>
          <w:b w:val="false"/>
          <w:bCs w:val="false"/>
          <w:color w:val="000000"/>
          <w:sz w:val="22"/>
          <w:szCs w:val="22"/>
        </w:rPr>
        <w:t xml:space="preserve">Begründung der Änderung: Zukunftssicherheit für Wachstumsphasen; verhindert vollständigen Erfahrungsverlust; kein unmittelbarer Anpassungsbedarf; erheblicher Vorteil bei Vereinswachstum.</w:t>
      </w:r>
    </w:p>
    <w:p>
      <w:pPr>
        <w:pBdr>
          <w:bottom w:val="single" w:color="CCCCCC" w:sz="4"/>
        </w:pBdr>
        <w:spacing w:after="200" w:before="200"/>
      </w:pPr>
    </w:p>
    <w:p>
      <w:pPr>
        <w:pStyle w:val="Heading2"/>
        <w:spacing w:after="120" w:before="360"/>
      </w:pPr>
      <w:r>
        <w:t xml:space="preserve">§ 16 — Zuständigkeit und Arbeitsweise des Gesamtvorstands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 16 ist neben § 3 die stärkste Regelung dieser Satzung aus Governance-Sicht.</w:t>
      </w:r>
    </w:p>
    <w:p>
      <w:pPr>
        <w:pStyle w:val="ListParagraph"/>
        <w:numPr>
          <w:ilvl w:val="0"/>
          <w:numId w:val="1"/>
        </w:numPr>
        <w:spacing w:after="80"/>
      </w:pPr>
      <w:r>
        <w:rPr>
          <w:rFonts w:ascii="Calibri" w:cs="Calibri" w:eastAsia="Calibri" w:hAnsi="Calibri"/>
          <w:sz w:val="22"/>
          <w:szCs w:val="22"/>
        </w:rPr>
        <w:t xml:space="preserve">Abs. 7 (Interessenkonflikt mit Protokollpflicht): Diese Regelung geht weit über den Standard gemeinnütziger Sportvereine hinaus. Die Pflicht zum Protokollvermerk bei Interessenkonflikten und Nichtmitwirkung ist best practice und entspricht den Anforderungen der Finanzverwaltung für steuerlich relevante Beschlüsse. ✓✓</w:t>
      </w:r>
    </w:p>
    <w:p>
      <w:pPr>
        <w:pStyle w:val="ListParagraph"/>
        <w:numPr>
          <w:ilvl w:val="0"/>
          <w:numId w:val="1"/>
        </w:numPr>
        <w:spacing w:after="80"/>
      </w:pPr>
      <w:r>
        <w:rPr>
          <w:rFonts w:ascii="Calibri" w:cs="Calibri" w:eastAsia="Calibri" w:hAnsi="Calibri"/>
          <w:sz w:val="22"/>
          <w:szCs w:val="22"/>
        </w:rPr>
        <w:t xml:space="preserve">Abs. 8 (Umlaufverfahren im Textform): Korrekt; die Widerspruchsfreiheit aller Mitglieder ist das gesetzliche Mindesterfordernis nach § 32 Abs. 2 BGB n.F. für Vorstandsumlaufbeschlüsse. ✓</w:t>
      </w:r>
    </w:p>
    <w:p>
      <w:pPr>
        <w:pStyle w:val="ListParagraph"/>
        <w:numPr>
          <w:ilvl w:val="0"/>
          <w:numId w:val="1"/>
        </w:numPr>
        <w:spacing w:after="80"/>
      </w:pPr>
      <w:r>
        <w:rPr>
          <w:rFonts w:ascii="Calibri" w:cs="Calibri" w:eastAsia="Calibri" w:hAnsi="Calibri"/>
          <w:sz w:val="22"/>
          <w:szCs w:val="22"/>
        </w:rPr>
        <w:t xml:space="preserve">Abs. 9 (Beschlussprotokoll): Unverzichtbar für Gemeinnützigkeitsnachweis und Haftungsklarheit. ✓</w:t>
      </w:r>
    </w:p>
    <w:p>
      <w:pPr>
        <w:pStyle w:val="ListParagraph"/>
        <w:numPr>
          <w:ilvl w:val="0"/>
          <w:numId w:val="1"/>
        </w:numPr>
        <w:spacing w:after="80"/>
      </w:pPr>
      <w:r>
        <w:rPr>
          <w:rFonts w:ascii="Calibri" w:cs="Calibri" w:eastAsia="Calibri" w:hAnsi="Calibri"/>
          <w:sz w:val="22"/>
          <w:szCs w:val="22"/>
        </w:rPr>
        <w:t xml:space="preserve">Abs. 10 (Kleinkorrekturklausel): Die exakte Abgrenzung zwischen erlaubten redaktionellen Anpassungen und verbotenen materiellen Änderungen ist vorbildlich. Die Ausschlussliste (Zweck, Vermögensbindung, Mitgliederrechte etc.) schützt den Kernbestand der Satzung.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17 — Beauftragte, Ausschüsse, Vollmachten und Beirat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DE7" w:val="clear"/>
            <w:tcMar>
              <w:top w:type="dxa" w:w="100"/>
              <w:left w:type="dxa" w:w="200"/>
              <w:bottom w:type="dxa" w:w="100"/>
              <w:right w:type="dxa" w:w="200"/>
            </w:tcMar>
          </w:tcPr>
          <w:p>
            <w:r>
              <w:rPr>
                <w:rFonts w:ascii="Calibri" w:cs="Calibri" w:eastAsia="Calibri" w:hAnsi="Calibri"/>
                <w:b/>
                <w:bCs/>
                <w:color w:val="4E342E"/>
                <w:sz w:val="24"/>
                <w:szCs w:val="24"/>
              </w:rPr>
              <w:t xml:space="preserve">🟡  Kleine Verbesserung möglich</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3 (§ 30 BGB besondere Vertreter): Korrekte Referenz mit Anmeldepflicht. ✓</w:t>
      </w:r>
    </w:p>
    <w:p>
      <w:pPr>
        <w:pStyle w:val="ListParagraph"/>
        <w:numPr>
          <w:ilvl w:val="0"/>
          <w:numId w:val="1"/>
        </w:numPr>
        <w:spacing w:after="80"/>
      </w:pPr>
      <w:r>
        <w:rPr>
          <w:rFonts w:ascii="Calibri" w:cs="Calibri" w:eastAsia="Calibri" w:hAnsi="Calibri"/>
          <w:sz w:val="22"/>
          <w:szCs w:val="22"/>
        </w:rPr>
        <w:t xml:space="preserve">Abs. 4 (Beirat ohne Organstatus): Richtig qualifiziert. ✓</w:t>
      </w:r>
    </w:p>
    <w:p>
      <w:pPr>
        <w:pStyle w:val="ListParagraph"/>
        <w:numPr>
          <w:ilvl w:val="0"/>
          <w:numId w:val="1"/>
        </w:numPr>
        <w:spacing w:after="80"/>
      </w:pPr>
      <w:r>
        <w:rPr>
          <w:rFonts w:ascii="Calibri" w:cs="Calibri" w:eastAsia="Calibri" w:hAnsi="Calibri"/>
          <w:sz w:val="22"/>
          <w:szCs w:val="22"/>
        </w:rPr>
        <w:t xml:space="preserve">Abs. 5 (Vergütung nur für Nichtvorstandsmitglieder): Wichtiger Interessenkonfliktschutz. ✓</w:t>
      </w:r>
    </w:p>
    <w:p>
      <w:pPr>
        <w:spacing w:after="120"/>
        <w:ind/>
      </w:pPr>
      <w:r>
        <w:rPr>
          <w:rFonts w:ascii="Calibri" w:cs="Calibri" w:eastAsia="Calibri" w:hAnsi="Calibri"/>
          <w:b w:val="false"/>
          <w:bCs w:val="false"/>
          <w:color w:val="000000"/>
          <w:sz w:val="22"/>
          <w:szCs w:val="22"/>
        </w:rPr>
        <w:t xml:space="preserve">Lücke: § 17 enthält keine Interessenkonfliktregelung für Ausschussmitglieder und Beauftragte. Diese können erhebliche operative Entscheidungen treffen (z.B. Sponsoringverträge, Veranstaltungskontrakte). Die in § 16 Abs. 7 sorgfältig ausgearbeitete Regelung sollte auf Ausschüsse und Beauftragte erstreckt werden.</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17 Abs. 1 — Ergänzung Satz 2:
"Für Mitglieder von Ausschüssen und für Beauftragte gilt § 16 Abs. 7
(Interessenkonflikt und Nichtmitwirkung) entsprechend."</w:t>
            </w:r>
          </w:p>
        </w:tc>
      </w:tr>
    </w:tbl>
    <w:p>
      <w:pPr>
        <w:spacing w:after="120"/>
        <w:ind/>
      </w:pPr>
      <w:r>
        <w:rPr>
          <w:rFonts w:ascii="Calibri" w:cs="Calibri" w:eastAsia="Calibri" w:hAnsi="Calibri"/>
          <w:b w:val="false"/>
          <w:bCs w:val="false"/>
          <w:color w:val="000000"/>
          <w:sz w:val="22"/>
          <w:szCs w:val="22"/>
        </w:rPr>
        <w:t xml:space="preserve">Begründung der Änderung: Schließt eine Governance-Lücke; verhindert, dass Interessenkonflikte auf Ausschussebene entstehen, die auf Vorstandsebene ausdrücklich ausgeschlossen sind; relevant für Sponsoring-, Beschaffungs- und Finanzausschüsse.</w:t>
      </w:r>
    </w:p>
    <w:p>
      <w:pPr>
        <w:pBdr>
          <w:bottom w:val="single" w:color="CCCCCC" w:sz="4"/>
        </w:pBdr>
        <w:spacing w:after="200" w:before="200"/>
      </w:pPr>
    </w:p>
    <w:p>
      <w:pPr>
        <w:pStyle w:val="Heading2"/>
        <w:spacing w:after="120" w:before="360"/>
      </w:pPr>
      <w:r>
        <w:t xml:space="preserve">§ 18 — Jugend des Vereins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Kurz, klar und ausreichend. Die Selbstorganisation der Vereinsjugend im Rahmen der Satzung und einer MV-beschlossenen Jugendordnung ist die von DOSB und LSB Berlin empfohlene Konstruktion. Die Jugendordnung als von der MV beschlossenes Instrument (§ 20 Abs. 2) sichert die demokratische Legitimation. Abs. 4 signalisiert gelebte Partizipationskultur.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19 — Kassenprüfung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Die Unabhängigkeitskriterien für Kassenprüfende gehen weit über den Standard gemeinnütziger Vereinssatzungen hinaus:</w:t>
      </w:r>
    </w:p>
    <w:p>
      <w:pPr>
        <w:pStyle w:val="ListParagraph"/>
        <w:numPr>
          <w:ilvl w:val="0"/>
          <w:numId w:val="1"/>
        </w:numPr>
        <w:spacing w:after="80"/>
      </w:pPr>
      <w:r>
        <w:rPr>
          <w:rFonts w:ascii="Calibri" w:cs="Calibri" w:eastAsia="Calibri" w:hAnsi="Calibri"/>
          <w:sz w:val="22"/>
          <w:szCs w:val="22"/>
        </w:rPr>
        <w:t xml:space="preserve">Keine Vorstandsmitgliedschaft ✓</w:t>
      </w:r>
    </w:p>
    <w:p>
      <w:pPr>
        <w:pStyle w:val="ListParagraph"/>
        <w:numPr>
          <w:ilvl w:val="0"/>
          <w:numId w:val="1"/>
        </w:numPr>
        <w:spacing w:after="80"/>
      </w:pPr>
      <w:r>
        <w:rPr>
          <w:rFonts w:ascii="Calibri" w:cs="Calibri" w:eastAsia="Calibri" w:hAnsi="Calibri"/>
          <w:sz w:val="22"/>
          <w:szCs w:val="22"/>
        </w:rPr>
        <w:t xml:space="preserve">Keine Kontovollmacht ✓</w:t>
      </w:r>
    </w:p>
    <w:p>
      <w:pPr>
        <w:pStyle w:val="ListParagraph"/>
        <w:numPr>
          <w:ilvl w:val="0"/>
          <w:numId w:val="1"/>
        </w:numPr>
        <w:spacing w:after="80"/>
      </w:pPr>
      <w:r>
        <w:rPr>
          <w:rFonts w:ascii="Calibri" w:cs="Calibri" w:eastAsia="Calibri" w:hAnsi="Calibri"/>
          <w:sz w:val="22"/>
          <w:szCs w:val="22"/>
        </w:rPr>
        <w:t xml:space="preserve">Kein Beschäftigungsverhältnis mit dem Verein ✓</w:t>
      </w:r>
    </w:p>
    <w:p>
      <w:pPr>
        <w:pStyle w:val="ListParagraph"/>
        <w:numPr>
          <w:ilvl w:val="0"/>
          <w:numId w:val="1"/>
        </w:numPr>
        <w:spacing w:after="80"/>
      </w:pPr>
      <w:r>
        <w:rPr>
          <w:rFonts w:ascii="Calibri" w:cs="Calibri" w:eastAsia="Calibri" w:hAnsi="Calibri"/>
          <w:sz w:val="22"/>
          <w:szCs w:val="22"/>
        </w:rPr>
        <w:t xml:space="preserve">Kein Näheverhältnis zu einem Vorstandsmitglied, das die Unabhängigkeit beeinträchtigen kann ✓</w:t>
      </w:r>
    </w:p>
    <w:p>
      <w:pPr>
        <w:spacing w:after="120"/>
        <w:ind/>
      </w:pPr>
      <w:r>
        <w:rPr>
          <w:rFonts w:ascii="Calibri" w:cs="Calibri" w:eastAsia="Calibri" w:hAnsi="Calibri"/>
          <w:b w:val="false"/>
          <w:bCs w:val="false"/>
          <w:color w:val="000000"/>
          <w:sz w:val="22"/>
          <w:szCs w:val="22"/>
        </w:rPr>
        <w:t xml:space="preserve">Das vierte Kriterium ("Näheverhältnis") ist besonders wertvoll, da es faktische Abhängigkeiten erfasst, die formal nicht bestehen, aber die Unabhängigkeit de facto untergraben. Die Prüfungspflicht (mindestens jährlich), das Berichtsrecht gegenüber der MV und das Akteneinsichtsrecht sind vollständig und korrekt. Die Formulierung "sollen [...] Entlastung empfehlen" (nicht "müssen") ist korrekt, da die Empfehlung vom Befund abhängt.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20 — Vereinsordnungen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spacing w:after="120"/>
        <w:ind/>
      </w:pPr>
      <w:r>
        <w:rPr>
          <w:rFonts w:ascii="Calibri" w:cs="Calibri" w:eastAsia="Calibri" w:hAnsi="Calibri"/>
          <w:b w:val="false"/>
          <w:bCs w:val="false"/>
          <w:color w:val="000000"/>
          <w:sz w:val="22"/>
          <w:szCs w:val="22"/>
        </w:rPr>
        <w:t xml:space="preserve">Die Zuständigkeitsaufteilung für Vereinsordnungen ist mustergültig. Die MV ist zuständig für alle mitgliedsrechtsrelevanten Ordnungen (Beitragsordnung, Abteilungsordnung, Jugendordnung, Wahlordnung, Ordnungen über Geldbußen). Der Gesamtvorstand ist zuständig für operative Ordnungen (Finanzordnung, Geschäftsordnung, Datenschutzordnung). Abs. 3 (Ordnungen ≠ Satzungsbestandteil; keine wesentlichen Mitgliedschaftspflichten ohne Satzungsgrundlage) ist eine wichtige Schutzklausel gegen Satzungsumgehung.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21 — Verbandsmitgliedschaften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DE7" w:val="clear"/>
            <w:tcMar>
              <w:top w:type="dxa" w:w="100"/>
              <w:left w:type="dxa" w:w="200"/>
              <w:bottom w:type="dxa" w:w="100"/>
              <w:right w:type="dxa" w:w="200"/>
            </w:tcMar>
          </w:tcPr>
          <w:p>
            <w:r>
              <w:rPr>
                <w:rFonts w:ascii="Calibri" w:cs="Calibri" w:eastAsia="Calibri" w:hAnsi="Calibri"/>
                <w:b/>
                <w:bCs/>
                <w:color w:val="4E342E"/>
                <w:sz w:val="24"/>
                <w:szCs w:val="24"/>
              </w:rPr>
              <w:t xml:space="preserve">🟡  Kleine Verbesserung möglich</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2 (Anerkennung der Verbandsregelwerke mit Rangvorbehalt): Die Einschränkung "soweit mit zwingendem Recht und dieser Satzung vereinbar" ist juristisch präzise und schützt die Vereinsautonomie. ✓</w:t>
      </w:r>
    </w:p>
    <w:p>
      <w:pPr>
        <w:pStyle w:val="ListParagraph"/>
        <w:numPr>
          <w:ilvl w:val="0"/>
          <w:numId w:val="1"/>
        </w:numPr>
        <w:spacing w:after="80"/>
      </w:pPr>
      <w:r>
        <w:rPr>
          <w:rFonts w:ascii="Calibri" w:cs="Calibri" w:eastAsia="Calibri" w:hAnsi="Calibri"/>
          <w:sz w:val="22"/>
          <w:szCs w:val="22"/>
        </w:rPr>
        <w:t xml:space="preserve">Abs. 3 (Beitritts- und Austrittskompetenz): Differenzierung zwischen Vorstand (Beitritt, normaler Austritt) und MV (bei wesentlicher Bedeutung) ist sachgerecht. ✓</w:t>
      </w:r>
    </w:p>
    <w:p>
      <w:pPr>
        <w:spacing w:after="120"/>
        <w:ind/>
      </w:pPr>
      <w:r>
        <w:rPr>
          <w:rFonts w:ascii="Calibri" w:cs="Calibri" w:eastAsia="Calibri" w:hAnsi="Calibri"/>
          <w:b w:val="false"/>
          <w:bCs w:val="false"/>
          <w:color w:val="000000"/>
          <w:sz w:val="22"/>
          <w:szCs w:val="22"/>
        </w:rPr>
        <w:t xml:space="preserve">Lücke: Es gibt keine Verfahrensregel für den Fall, dass ein Verband nach dem Beitritt des Vereins seine Satzung oder Ordnungen zu Ungunsten des Vereins ändert. Der dynamische Verweis ("in der jeweils geltenden Fassung") könnte in diesem Fall zu einer unerwünschten Bindungswirkung führen.</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21 Abs. 2 — Ergänzung Satz 2:
"Änderungen von Verbandssatzungen oder -ordnungen, die mit dieser Satzung oder
mit zwingendem Recht unvereinbar sind, begründen keine Bindungswirkung für
den Verein. Der Gesamtvorstand unterrichtet die Mitgliederversammlung, wenn
eine solche Unvereinbarkeit eintritt und eine Anpassung der Vereinssatzung
oder ein Austritt erwogen werden muss."</w:t>
            </w:r>
          </w:p>
        </w:tc>
      </w:tr>
    </w:tbl>
    <w:p>
      <w:pPr>
        <w:spacing w:after="120"/>
        <w:ind/>
      </w:pPr>
      <w:r>
        <w:rPr>
          <w:rFonts w:ascii="Calibri" w:cs="Calibri" w:eastAsia="Calibri" w:hAnsi="Calibri"/>
          <w:b w:val="false"/>
          <w:bCs w:val="false"/>
          <w:color w:val="000000"/>
          <w:sz w:val="22"/>
          <w:szCs w:val="22"/>
        </w:rPr>
        <w:t xml:space="preserve">Begründung der Änderung: Schutz der Vereinsautonomie; Klarstellung der Rangfolge; praxisrelevant bei Verbandsreformen, die neue Pflichten einführen.</w:t>
      </w:r>
    </w:p>
    <w:p>
      <w:pPr>
        <w:pBdr>
          <w:bottom w:val="single" w:color="CCCCCC" w:sz="4"/>
        </w:pBdr>
        <w:spacing w:after="200" w:before="200"/>
      </w:pPr>
    </w:p>
    <w:p>
      <w:pPr>
        <w:pStyle w:val="Heading2"/>
        <w:spacing w:after="120" w:before="360"/>
      </w:pPr>
      <w:r>
        <w:t xml:space="preserve">§ 22 — Datenschutz und Persönlichkeitsrechte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3E0" w:val="clear"/>
            <w:tcMar>
              <w:top w:type="dxa" w:w="100"/>
              <w:left w:type="dxa" w:w="200"/>
              <w:bottom w:type="dxa" w:w="100"/>
              <w:right w:type="dxa" w:w="200"/>
            </w:tcMar>
          </w:tcPr>
          <w:p>
            <w:r>
              <w:rPr>
                <w:rFonts w:ascii="Calibri" w:cs="Calibri" w:eastAsia="Calibri" w:hAnsi="Calibri"/>
                <w:b/>
                <w:bCs/>
                <w:color w:val="BF360C"/>
                <w:sz w:val="24"/>
                <w:szCs w:val="24"/>
              </w:rPr>
              <w:t xml:space="preserve">🟠  Verbesserung empfohlen</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1 (Dynamischer Verweis auf Datenschutzvorschriften): Korrekt; erfasst DSGVO, BDSG, ggf. künftige Regelungen. ✓</w:t>
      </w:r>
    </w:p>
    <w:p>
      <w:pPr>
        <w:pStyle w:val="ListParagraph"/>
        <w:numPr>
          <w:ilvl w:val="0"/>
          <w:numId w:val="1"/>
        </w:numPr>
        <w:spacing w:after="80"/>
      </w:pPr>
      <w:r>
        <w:rPr>
          <w:rFonts w:ascii="Calibri" w:cs="Calibri" w:eastAsia="Calibri" w:hAnsi="Calibri"/>
          <w:sz w:val="22"/>
          <w:szCs w:val="22"/>
        </w:rPr>
        <w:t xml:space="preserve">Abs. 2 (Datenübermittlung an Verbände etc.): Korrekt; Rechtsgrundlagenvorbehalt ist enthalten. ✓</w:t>
      </w:r>
    </w:p>
    <w:p>
      <w:pPr>
        <w:pStyle w:val="ListParagraph"/>
        <w:numPr>
          <w:ilvl w:val="0"/>
          <w:numId w:val="1"/>
        </w:numPr>
        <w:spacing w:after="80"/>
      </w:pPr>
      <w:r>
        <w:rPr>
          <w:rFonts w:ascii="Calibri" w:cs="Calibri" w:eastAsia="Calibri" w:hAnsi="Calibri"/>
          <w:sz w:val="22"/>
          <w:szCs w:val="22"/>
        </w:rPr>
        <w:t xml:space="preserve">Abs. 3 (Öffentlichkeitsarbeit): Korrekt formuliert; Rechtsgrundlagenvorbehalt schützt. ✓</w:t>
      </w:r>
    </w:p>
    <w:p>
      <w:pPr>
        <w:spacing w:after="120"/>
        <w:ind/>
      </w:pPr>
      <w:r>
        <w:rPr>
          <w:rFonts w:ascii="Calibri" w:cs="Calibri" w:eastAsia="Calibri" w:hAnsi="Calibri"/>
          <w:b w:val="false"/>
          <w:bCs w:val="false"/>
          <w:color w:val="000000"/>
          <w:sz w:val="22"/>
          <w:szCs w:val="22"/>
        </w:rPr>
        <w:t xml:space="preserve">Kritische Lücke — Minderjährige: Die Satzung enthält keine ausdrückliche Regelung für die Veröffentlichung von Bild- und Videoaufnahmen Minderjähriger. Gerade bei einem Sportverein mit Kinder- und Jugendarbeit ist dies ein erhebliches Haftungsrisiko. Die Einwilligung der Erziehungsberechtigten ist nach Art. 8 DSGVO i.V.m. § 8 BDSG für Personen unter 16 Jahren zwingend erforderlich. Ohne satzungsmäßige Verankerung fehlt die interne Richtschnur, und Eltern können im Nachhinein berechtigte Einwände erheben.</w:t>
      </w:r>
    </w:p>
    <w:p>
      <w:pPr>
        <w:spacing w:after="120"/>
        <w:ind/>
      </w:pPr>
      <w:r>
        <w:rPr>
          <w:rFonts w:ascii="Calibri" w:cs="Calibri" w:eastAsia="Calibri" w:hAnsi="Calibri"/>
          <w:b w:val="false"/>
          <w:bCs w:val="false"/>
          <w:color w:val="000000"/>
          <w:sz w:val="22"/>
          <w:szCs w:val="22"/>
        </w:rPr>
        <w:t xml:space="preserve">Diese Lücke ist in der Praxis ein häufiger Ansatzpunkt für Auseinandersetzungen und stellt ein vermeidbares Reputationsrisiko dar.</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22 Abs. 3 — Ergänzung Satz 2:
"Bei der Veröffentlichung von Bild-, Ton- und Videoaufnahmen, auf denen
Minderjährige erkennbar sind, ist die vorherige Einwilligung ihrer gesetzlichen
Vertretung einzuholen. Die Datenschutzordnung konkretisiert die Anforderungen
an Einwilligung, Widerspruch und Löschung."</w:t>
            </w:r>
          </w:p>
        </w:tc>
      </w:tr>
    </w:tbl>
    <w:p>
      <w:pPr>
        <w:spacing w:after="120"/>
        <w:ind/>
      </w:pPr>
      <w:r>
        <w:rPr>
          <w:rFonts w:ascii="Calibri" w:cs="Calibri" w:eastAsia="Calibri" w:hAnsi="Calibri"/>
          <w:b w:val="false"/>
          <w:bCs w:val="false"/>
          <w:color w:val="000000"/>
          <w:sz w:val="22"/>
          <w:szCs w:val="22"/>
        </w:rPr>
        <w:t xml:space="preserve">Begründung der Änderung: DSGVO-Compliance; Haftungsminimierung; Elternschutz; entspricht den Schutzkonzepten des DOSB und LSB Berlin für Kinder- und Jugendsport.</w:t>
      </w:r>
    </w:p>
    <w:p>
      <w:pPr>
        <w:pBdr>
          <w:bottom w:val="single" w:color="CCCCCC" w:sz="4"/>
        </w:pBdr>
        <w:spacing w:after="200" w:before="200"/>
      </w:pPr>
    </w:p>
    <w:p>
      <w:pPr>
        <w:pStyle w:val="Heading2"/>
        <w:spacing w:after="120" w:before="360"/>
      </w:pPr>
      <w:r>
        <w:t xml:space="preserve">§ 23 — Haftung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FFF3E0" w:val="clear"/>
            <w:tcMar>
              <w:top w:type="dxa" w:w="100"/>
              <w:left w:type="dxa" w:w="200"/>
              <w:bottom w:type="dxa" w:w="100"/>
              <w:right w:type="dxa" w:w="200"/>
            </w:tcMar>
          </w:tcPr>
          <w:p>
            <w:r>
              <w:rPr>
                <w:rFonts w:ascii="Calibri" w:cs="Calibri" w:eastAsia="Calibri" w:hAnsi="Calibri"/>
                <w:b/>
                <w:bCs/>
                <w:color w:val="BF360C"/>
                <w:sz w:val="24"/>
                <w:szCs w:val="24"/>
              </w:rPr>
              <w:t xml:space="preserve">🟠  Verbesserung empfohlen</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2 (§§ 31a und 31b BGB): Korrekte Referenzierung der Haftungsprivilegien für Ehrenamtliche und einfache Mitglieder. ✓</w:t>
      </w:r>
    </w:p>
    <w:p>
      <w:pPr>
        <w:spacing w:after="120"/>
        <w:ind/>
      </w:pPr>
      <w:r>
        <w:rPr>
          <w:rFonts w:ascii="Calibri" w:cs="Calibri" w:eastAsia="Calibri" w:hAnsi="Calibri"/>
          <w:b w:val="false"/>
          <w:bCs w:val="false"/>
          <w:color w:val="000000"/>
          <w:sz w:val="22"/>
          <w:szCs w:val="22"/>
        </w:rPr>
        <w:t xml:space="preserve">Kritischer Aspekt — Abs. 3 (Freistellungszusage): Die Freistellungszusage des Vereins gegenüber seinen Organmitgliedern und tätigen Personen ist eine sinnvolle Governance-Maßnahme. Sie birgt jedoch in der vorliegenden Fassung zwei konkrete Risiken:</w:t>
      </w:r>
    </w:p>
    <w:p>
      <w:pPr>
        <w:pStyle w:val="ListParagraph"/>
        <w:numPr>
          <w:ilvl w:val="0"/>
          <w:numId w:val="1"/>
        </w:numPr>
        <w:spacing w:after="80"/>
      </w:pPr>
      <w:r>
        <w:rPr>
          <w:rFonts w:ascii="Calibri" w:cs="Calibri" w:eastAsia="Calibri" w:hAnsi="Calibri"/>
          <w:sz w:val="22"/>
          <w:szCs w:val="22"/>
        </w:rPr>
        <w:t xml:space="preserve">Risiko 1 — Gemeinnützigkeit: Wenn der Verein aus seinen Mitteln Organmitglieder freistellt, handelt es sich um eine Mittelverwendung. Diese muss im satzungsmäßigen Rahmen bleiben (§ 55 Abs. 1 Nr. 1 AO). Eine unbegrenzte Freistellungszusage ohne Rückbindung an die verfügbaren Mittel kann theoretisch als Begünstigung qualifiziert werden.</w:t>
      </w:r>
    </w:p>
    <w:p>
      <w:pPr>
        <w:pStyle w:val="ListParagraph"/>
        <w:numPr>
          <w:ilvl w:val="0"/>
          <w:numId w:val="1"/>
        </w:numPr>
        <w:spacing w:after="80"/>
      </w:pPr>
      <w:r>
        <w:rPr>
          <w:rFonts w:ascii="Calibri" w:cs="Calibri" w:eastAsia="Calibri" w:hAnsi="Calibri"/>
          <w:sz w:val="22"/>
          <w:szCs w:val="22"/>
        </w:rPr>
        <w:t xml:space="preserve">Risiko 2 — Subsidiarität: Ohne Klarstellung, dass die Vereinsfreistellung gegenüber zumutbar verfügbaren Versicherungsleistungen subsidiär ist, könnte der Verein trotz bestehender D&amp;O-Versicherung aus Vereinsmitteln haften.</w:t>
      </w:r>
    </w:p>
    <w:p>
      <w:pPr>
        <w:pStyle w:val="Heading3"/>
        <w:spacing w:after="80" w:before="240"/>
      </w:pPr>
      <w:r>
        <w:t xml:space="preserve">Verbesserungsvorschlag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00"/>
      </w:tblGrid>
      <w:tr>
        <w:tc>
          <w:tcPr>
            <w:tcW w:type="dxa" w:w="9360"/>
            <w:shd w:fill="F0F4F8" w:val="clear"/>
            <w:tcMar>
              <w:top w:type="dxa" w:w="120"/>
              <w:left w:type="dxa" w:w="280"/>
              <w:bottom w:type="dxa" w:w="120"/>
              <w:right w:type="dxa" w:w="280"/>
            </w:tcMar>
          </w:tcPr>
          <w:p>
            <w:r>
              <w:rPr>
                <w:rFonts w:ascii="Courier New" w:cs="Courier New" w:eastAsia="Courier New" w:hAnsi="Courier New"/>
                <w:color w:val="1A1A2E"/>
                <w:sz w:val="20"/>
                <w:szCs w:val="20"/>
              </w:rPr>
              <w:t xml:space="preserve">§ 23 Abs. 3 — Ergänzung Satz 2 und 3:
"Die Freistellung erfolgt nur im Rahmen der dem Verein hierfür tatsächlich zur
Verfügung stehenden Mittel und ist subsidiär gegenüber zumutbar in Anspruch
zu nehmenden Versicherungsleistungen. Sie ist ausgeschlossen, soweit sie zu
einer Mittelverwendung führen würde, die dem satzungsmäßigen Zweck
widerspricht oder die Gemeinnützigkeit des Vereins gefährdet."</w:t>
            </w:r>
          </w:p>
        </w:tc>
      </w:tr>
    </w:tbl>
    <w:p>
      <w:pPr>
        <w:spacing w:after="120"/>
        <w:ind/>
      </w:pPr>
      <w:r>
        <w:rPr>
          <w:rFonts w:ascii="Calibri" w:cs="Calibri" w:eastAsia="Calibri" w:hAnsi="Calibri"/>
          <w:b w:val="false"/>
          <w:bCs w:val="false"/>
          <w:color w:val="000000"/>
          <w:sz w:val="22"/>
          <w:szCs w:val="22"/>
        </w:rPr>
        <w:t xml:space="preserve">Begründung der Änderung: Schutz der Gemeinnützigkeit; Klarstellung der Rangfolge (Versicherung vor Vereinshaftung); verhindert, dass die Freistellungszusage in Notlagen zu existenzgefährdendem Mittelabfluss führt.</w:t>
      </w:r>
    </w:p>
    <w:p>
      <w:pPr>
        <w:pBdr>
          <w:bottom w:val="single" w:color="CCCCCC" w:sz="4"/>
        </w:pBdr>
        <w:spacing w:after="200" w:before="200"/>
      </w:pPr>
    </w:p>
    <w:p>
      <w:pPr>
        <w:pStyle w:val="Heading2"/>
        <w:spacing w:after="120" w:before="360"/>
      </w:pPr>
      <w:r>
        <w:t xml:space="preserve">§ 24 — Satzungsänderungen und Zweckänderung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1 (2/3-Mehrheit für Satzungsänderung): Standard; ausreichend hoch für Schutz der Satzungssubstanz. ✓</w:t>
      </w:r>
    </w:p>
    <w:p>
      <w:pPr>
        <w:pStyle w:val="ListParagraph"/>
        <w:numPr>
          <w:ilvl w:val="0"/>
          <w:numId w:val="1"/>
        </w:numPr>
        <w:spacing w:after="80"/>
      </w:pPr>
      <w:r>
        <w:rPr>
          <w:rFonts w:ascii="Calibri" w:cs="Calibri" w:eastAsia="Calibri" w:hAnsi="Calibri"/>
          <w:sz w:val="22"/>
          <w:szCs w:val="22"/>
        </w:rPr>
        <w:t xml:space="preserve">Abs. 2 (3/4-Mehrheit für Zweckänderung): § 33 Abs. 1 S. 2 BGB fordert grundsätzlich Zustimmung aller Mitglieder für Zweckänderungen; die Satzung kann abweichen. Die 3/4-Mehrheit der Abstimmenden ist in der Berliner Registerpraxis anerkannt und entspricht dem OLG-Niveau. ✓</w:t>
      </w:r>
    </w:p>
    <w:p>
      <w:pPr>
        <w:pStyle w:val="ListParagraph"/>
        <w:numPr>
          <w:ilvl w:val="0"/>
          <w:numId w:val="1"/>
        </w:numPr>
        <w:spacing w:after="80"/>
      </w:pPr>
      <w:r>
        <w:rPr>
          <w:rFonts w:ascii="Calibri" w:cs="Calibri" w:eastAsia="Calibri" w:hAnsi="Calibri"/>
          <w:sz w:val="22"/>
          <w:szCs w:val="22"/>
        </w:rPr>
        <w:t xml:space="preserve">Abs. 3 (Bekanntgabe des Wortlauts mit Einladung): Zwingend nach § 33 Abs. 2 BGB; korrekt umgesetzt. ✓</w:t>
      </w:r>
    </w:p>
    <w:p>
      <w:pPr>
        <w:pStyle w:val="ListParagraph"/>
        <w:numPr>
          <w:ilvl w:val="0"/>
          <w:numId w:val="1"/>
        </w:numPr>
        <w:spacing w:after="80"/>
      </w:pPr>
      <w:r>
        <w:rPr>
          <w:rFonts w:ascii="Calibri" w:cs="Calibri" w:eastAsia="Calibri" w:hAnsi="Calibri"/>
          <w:sz w:val="22"/>
          <w:szCs w:val="22"/>
        </w:rPr>
        <w:t xml:space="preserve">Abs. 4 (Verweis auf Kleinkorrekturklausel): Korrekte Systemreferenz zu § 16 Abs. 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25 — Auflösung und Vermögensbindung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1 (3/4-Mehrheit in eigens einberufener MV): Der Zusatz der gesondert einzuberufenden MV erhöht die Schwelle über § 41 BGB hinaus; dies ist eine bewusste Gestaltung, die Überlegung und Legitimation maximiert. ✓</w:t>
      </w:r>
    </w:p>
    <w:p>
      <w:pPr>
        <w:pStyle w:val="ListParagraph"/>
        <w:numPr>
          <w:ilvl w:val="0"/>
          <w:numId w:val="1"/>
        </w:numPr>
        <w:spacing w:after="80"/>
      </w:pPr>
      <w:r>
        <w:rPr>
          <w:rFonts w:ascii="Calibri" w:cs="Calibri" w:eastAsia="Calibri" w:hAnsi="Calibri"/>
          <w:sz w:val="22"/>
          <w:szCs w:val="22"/>
        </w:rPr>
        <w:t xml:space="preserve">Abs. 2 (Liquidatoren): § 26 BGB-Vorstand als Liquidatoren mit Verweis auf Vertretungsregel ist korrekt. ✓</w:t>
      </w:r>
    </w:p>
    <w:p>
      <w:pPr>
        <w:pStyle w:val="ListParagraph"/>
        <w:numPr>
          <w:ilvl w:val="0"/>
          <w:numId w:val="1"/>
        </w:numPr>
        <w:spacing w:after="80"/>
      </w:pPr>
      <w:r>
        <w:rPr>
          <w:rFonts w:ascii="Calibri" w:cs="Calibri" w:eastAsia="Calibri" w:hAnsi="Calibri"/>
          <w:sz w:val="22"/>
          <w:szCs w:val="22"/>
        </w:rPr>
        <w:t xml:space="preserve">Abs. 3 (Vermögensbindung LSB Berlin, Fallback Land Berlin): Die Vermögensbindung erfüllt vollständig die Anforderungen von § 55 Abs. 1 Nr. 4 AO, § 61 AO und der Mustersatzung zu § 60 AO. Der Landessportbund Berlin e.V. ist als steuerbegünstigte Körperschaft zur Förderung des Sports geeigneter Anfallsberechtigter. Die doppelte Absicherung durch das Land Berlin als Fallback ist vorbildlich.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pPr>
        <w:pStyle w:val="Heading2"/>
        <w:spacing w:after="120" w:before="360"/>
      </w:pPr>
      <w:r>
        <w:t xml:space="preserve">§ 26 — Inkrafttreten und Übergangsregelung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00"/>
        </w:tblCellMar>
      </w:tblPr>
      <w:tblGrid>
        <w:gridCol w:w="100"/>
      </w:tblGrid>
      <w:tr>
        <w:tc>
          <w:tcPr>
            <w:tcW w:type="dxa" w:w="9360"/>
            <w:shd w:fill="E8F5E9" w:val="clear"/>
            <w:tcMar>
              <w:top w:type="dxa" w:w="100"/>
              <w:left w:type="dxa" w:w="200"/>
              <w:bottom w:type="dxa" w:w="100"/>
              <w:right w:type="dxa" w:w="200"/>
            </w:tcMar>
          </w:tcPr>
          <w:p>
            <w:r>
              <w:rPr>
                <w:rFonts w:ascii="Calibri" w:cs="Calibri" w:eastAsia="Calibri" w:hAnsi="Calibri"/>
                <w:b/>
                <w:bCs/>
                <w:color w:val="1B5E20"/>
                <w:sz w:val="24"/>
                <w:szCs w:val="24"/>
              </w:rPr>
              <w:t xml:space="preserve">🟢  Optimal — Keine Änderung erforderlich</w:t>
            </w:r>
          </w:p>
        </w:tc>
      </w:tr>
    </w:tbl>
    <w:p>
      <w:pPr>
        <w:pStyle w:val="Heading3"/>
        <w:spacing w:after="80" w:before="240"/>
      </w:pPr>
      <w:r>
        <w:t xml:space="preserve">Begründung</w:t>
      </w:r>
    </w:p>
    <w:p>
      <w:pPr>
        <w:pStyle w:val="ListParagraph"/>
        <w:numPr>
          <w:ilvl w:val="0"/>
          <w:numId w:val="1"/>
        </w:numPr>
        <w:spacing w:after="80"/>
      </w:pPr>
      <w:r>
        <w:rPr>
          <w:rFonts w:ascii="Calibri" w:cs="Calibri" w:eastAsia="Calibri" w:hAnsi="Calibri"/>
          <w:sz w:val="22"/>
          <w:szCs w:val="22"/>
        </w:rPr>
        <w:t xml:space="preserve">Abs. 1 (Inkrafttreten mit Eintragung): Korrekt; Satzungsneufassungen werden erst mit Eintragung im Vereinsregister wirksam. ✓</w:t>
      </w:r>
    </w:p>
    <w:p>
      <w:pPr>
        <w:pStyle w:val="ListParagraph"/>
        <w:numPr>
          <w:ilvl w:val="0"/>
          <w:numId w:val="1"/>
        </w:numPr>
        <w:spacing w:after="80"/>
      </w:pPr>
      <w:r>
        <w:rPr>
          <w:rFonts w:ascii="Calibri" w:cs="Calibri" w:eastAsia="Calibri" w:hAnsi="Calibri"/>
          <w:sz w:val="22"/>
          <w:szCs w:val="22"/>
        </w:rPr>
        <w:t xml:space="preserve">Abs. 3 (Amtsinhaber bleiben bis Ablauf ihrer Amtszeit): Verhindert Kontinuitätslücken; entspricht allgemeiner Übergangsrechtspraxis. ✓</w:t>
      </w:r>
    </w:p>
    <w:p>
      <w:pPr>
        <w:pStyle w:val="ListParagraph"/>
        <w:numPr>
          <w:ilvl w:val="0"/>
          <w:numId w:val="1"/>
        </w:numPr>
        <w:spacing w:after="80"/>
      </w:pPr>
      <w:r>
        <w:rPr>
          <w:rFonts w:ascii="Calibri" w:cs="Calibri" w:eastAsia="Calibri" w:hAnsi="Calibri"/>
          <w:sz w:val="22"/>
          <w:szCs w:val="22"/>
        </w:rPr>
        <w:t xml:space="preserve">Abs. 4 (12-Monats-Review für bestehende Ordnungen): Wichtige Übergangsregel; stellt sicher, dass keine mit der neuen Satzung unvereinbaren Ordnungen fortgelten.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60"/>
        </w:tblCellMar>
      </w:tblPr>
      <w:tblGrid>
        <w:gridCol w:w="100"/>
      </w:tblGrid>
      <w:tr>
        <w:tc>
          <w:tcPr>
            <w:tcW w:type="dxa" w:w="9360"/>
            <w:shd w:fill="E8F5E9" w:val="clear"/>
            <w:tcMar>
              <w:top w:type="dxa" w:w="80"/>
              <w:left w:type="dxa" w:w="200"/>
              <w:bottom w:type="dxa" w:w="80"/>
              <w:right w:type="dxa" w:w="200"/>
            </w:tcMar>
          </w:tcPr>
          <w:p>
            <w:r>
              <w:rPr>
                <w:rFonts w:ascii="Calibri" w:cs="Calibri" w:eastAsia="Calibri" w:hAnsi="Calibri"/>
                <w:b/>
                <w:bCs/>
                <w:color w:val="1B5E20"/>
                <w:sz w:val="21"/>
                <w:szCs w:val="21"/>
              </w:rPr>
              <w:t xml:space="preserve">✓  Keine Änderung erforderlich.</w:t>
            </w:r>
          </w:p>
        </w:tc>
      </w:tr>
    </w:tbl>
    <w:p>
      <w:pPr>
        <w:pBdr>
          <w:bottom w:val="single" w:color="CCCCCC" w:sz="4"/>
        </w:pBdr>
        <w:spacing w:after="200" w:before="200"/>
      </w:pPr>
    </w:p>
    <w:p>
      <w:r>
        <w:br w:type="page"/>
      </w:r>
    </w:p>
    <w:p>
      <w:pPr>
        <w:pStyle w:val="Heading1"/>
        <w:pBdr>
          <w:bottom w:val="single" w:color="002855" w:sz="6"/>
        </w:pBdr>
        <w:spacing w:after="200" w:before="400"/>
      </w:pPr>
      <w:r>
        <w:t xml:space="preserve">ABSCHLIESSENDER LEGAL AUDIT — GESAMTBERICHT</w:t>
      </w:r>
    </w:p>
    <w:p>
      <w:pPr>
        <w:pStyle w:val="Heading2"/>
        <w:spacing w:after="120" w:before="360"/>
      </w:pPr>
      <w:r>
        <w:t xml:space="preserve">1. Executive Summary</w:t>
      </w:r>
    </w:p>
    <w:p>
      <w:pPr>
        <w:spacing w:after="120"/>
        <w:ind/>
      </w:pPr>
      <w:r>
        <w:rPr>
          <w:rFonts w:ascii="Calibri" w:cs="Calibri" w:eastAsia="Calibri" w:hAnsi="Calibri"/>
          <w:b w:val="false"/>
          <w:bCs w:val="false"/>
          <w:color w:val="000000"/>
          <w:sz w:val="22"/>
          <w:szCs w:val="22"/>
        </w:rPr>
        <w:t xml:space="preserve">Die Satzung des Sport-Club Metropolis 25 Berlin e.V. in der Fassung Version 5.0 ist eine überdurchschnittlich sorgfältig ausgearbeitete Satzung für einen gemeinnützigen Mehrspartenverein. Sie weist gegenüber vergleichbaren Vereinssatzungen in Berlin messbar höhere Standards in den Bereichen Gemeinnützigkeit, Governance und Zukunftsfähigkeit auf.</w:t>
      </w:r>
    </w:p>
    <w:p>
      <w:pPr>
        <w:spacing w:after="120"/>
        <w:ind/>
      </w:pPr>
      <w:r>
        <w:rPr>
          <w:rFonts w:ascii="Calibri" w:cs="Calibri" w:eastAsia="Calibri" w:hAnsi="Calibri"/>
          <w:b w:val="false"/>
          <w:bCs w:val="false"/>
          <w:color w:val="000000"/>
          <w:sz w:val="22"/>
          <w:szCs w:val="22"/>
        </w:rPr>
        <w:t xml:space="preserve">Die Satzung ist in der vorliegenden Fassung registerrechtlich eintragungsfähig und steuerrechtlich grundsätzlich gemeinnützigkeitsfähig. Es bestehen keine Formulierungen, die zwingend eine Zurückweisung durch das Registergericht oder eine Versagung der Steuerbegünstigung begründen würden.</w:t>
      </w:r>
    </w:p>
    <w:p>
      <w:pPr>
        <w:spacing w:after="120"/>
        <w:ind/>
      </w:pPr>
      <w:r>
        <w:rPr>
          <w:rFonts w:ascii="Calibri" w:cs="Calibri" w:eastAsia="Calibri" w:hAnsi="Calibri"/>
          <w:b w:val="false"/>
          <w:bCs w:val="false"/>
          <w:color w:val="000000"/>
          <w:sz w:val="22"/>
          <w:szCs w:val="22"/>
        </w:rPr>
        <w:t xml:space="preserve">Insgesamt wurden 10 Verbesserungsvorschläge erarbeitet: 1 in der Bewertungskategorie 🟠 (empfohlen, wegen Gemeinnützigkeits- oder Haftungsrisiko), 9 in der Kategorie 🟡 (kleine Verbesserungen). Kein Paragraph wurde als 🔴 (rechtlich problematisch) bewertet. Dies ist ein bemerkenswertes Ergebnis.</w:t>
      </w:r>
    </w:p>
    <w:p>
      <w:pPr>
        <w:spacing w:after="80"/>
      </w:pPr>
    </w:p>
    <w:p>
      <w:pPr>
        <w:pStyle w:val="Heading2"/>
        <w:spacing w:after="120" w:before="360"/>
      </w:pPr>
      <w:r>
        <w:t xml:space="preserve">2. Größte Stärken der Satzung</w:t>
      </w:r>
    </w:p>
    <w:p>
      <w:pPr>
        <w:spacing w:after="120"/>
        <w:ind/>
      </w:pPr>
      <w:r>
        <w:rPr>
          <w:rFonts w:ascii="Calibri" w:cs="Calibri" w:eastAsia="Calibri" w:hAnsi="Calibri"/>
          <w:b w:val="false"/>
          <w:bCs w:val="false"/>
          <w:color w:val="000000"/>
          <w:sz w:val="22"/>
          <w:szCs w:val="22"/>
        </w:rPr>
        <w:t xml:space="preserve">Folgende Regelungen sind besonders hervorzuheben:</w:t>
      </w:r>
    </w:p>
    <w:p>
      <w:pPr>
        <w:pStyle w:val="ListParagraph"/>
        <w:numPr>
          <w:ilvl w:val="0"/>
          <w:numId w:val="1"/>
        </w:numPr>
        <w:spacing w:after="80"/>
      </w:pPr>
      <w:r>
        <w:rPr>
          <w:rFonts w:ascii="Calibri" w:cs="Calibri" w:eastAsia="Calibri" w:hAnsi="Calibri"/>
          <w:sz w:val="22"/>
          <w:szCs w:val="22"/>
        </w:rPr>
        <w:t xml:space="preserve">§ 3 (Gemeinnützigkeit): Vollständige und über die Mustersatzung hinausgehende Formulierung; insbesondere § 3 Abs. 6 (Verträge mit Vorstandsmitgliedern) und § 3 Abs. 5 (Vergütungsermächtigung mit Bestimmtheitsgebot) sind Best Practice.</w:t>
      </w:r>
    </w:p>
    <w:p>
      <w:pPr>
        <w:pStyle w:val="ListParagraph"/>
        <w:numPr>
          <w:ilvl w:val="0"/>
          <w:numId w:val="1"/>
        </w:numPr>
        <w:spacing w:after="80"/>
      </w:pPr>
      <w:r>
        <w:rPr>
          <w:rFonts w:ascii="Calibri" w:cs="Calibri" w:eastAsia="Calibri" w:hAnsi="Calibri"/>
          <w:sz w:val="22"/>
          <w:szCs w:val="22"/>
        </w:rPr>
        <w:t xml:space="preserve">§ 11 (Sportabteilungen): Mustergültige Regelung für einen Mehrspartenverein; die Klarstellung der steuerlichen Unselbstständigkeit der Abteilungen und der fehlenden Vertretungsmacht der Abteilungsleitung (Abs. 3 und 8) schützt den Verein erheblich.</w:t>
      </w:r>
    </w:p>
    <w:p>
      <w:pPr>
        <w:pStyle w:val="ListParagraph"/>
        <w:numPr>
          <w:ilvl w:val="0"/>
          <w:numId w:val="1"/>
        </w:numPr>
        <w:spacing w:after="80"/>
      </w:pPr>
      <w:r>
        <w:rPr>
          <w:rFonts w:ascii="Calibri" w:cs="Calibri" w:eastAsia="Calibri" w:hAnsi="Calibri"/>
          <w:sz w:val="22"/>
          <w:szCs w:val="22"/>
        </w:rPr>
        <w:t xml:space="preserve">§ 13 Abs. 4–5 (Virtuelle Versammlung, technische Störungen): Die differenzierte Regelung zu technischen Störungen ist in der deutschen Vereinslandschaft ungewöhnlich präzise und reduziert Anfechtungsrisiken erheblich.</w:t>
      </w:r>
    </w:p>
    <w:p>
      <w:pPr>
        <w:pStyle w:val="ListParagraph"/>
        <w:numPr>
          <w:ilvl w:val="0"/>
          <w:numId w:val="1"/>
        </w:numPr>
        <w:spacing w:after="80"/>
      </w:pPr>
      <w:r>
        <w:rPr>
          <w:rFonts w:ascii="Calibri" w:cs="Calibri" w:eastAsia="Calibri" w:hAnsi="Calibri"/>
          <w:sz w:val="22"/>
          <w:szCs w:val="22"/>
        </w:rPr>
        <w:t xml:space="preserve">§ 16 Abs. 7 (Interessenkonflikt im Gesamtvorstand): Hervorragende Governance-Regel; die Protokollpflicht bei Interessenkonflikten ist über den Standard hinaus.</w:t>
      </w:r>
    </w:p>
    <w:p>
      <w:pPr>
        <w:pStyle w:val="ListParagraph"/>
        <w:numPr>
          <w:ilvl w:val="0"/>
          <w:numId w:val="1"/>
        </w:numPr>
        <w:spacing w:after="80"/>
      </w:pPr>
      <w:r>
        <w:rPr>
          <w:rFonts w:ascii="Calibri" w:cs="Calibri" w:eastAsia="Calibri" w:hAnsi="Calibri"/>
          <w:sz w:val="22"/>
          <w:szCs w:val="22"/>
        </w:rPr>
        <w:t xml:space="preserve">§ 16 Abs. 10 (Kleinkorrekturklausel): Präzise und rechtssichere Abgrenzung zwischen erlaubten Registerkorrekturen und verbotenen materiellen Änderungen.</w:t>
      </w:r>
    </w:p>
    <w:p>
      <w:pPr>
        <w:pStyle w:val="ListParagraph"/>
        <w:numPr>
          <w:ilvl w:val="0"/>
          <w:numId w:val="1"/>
        </w:numPr>
        <w:spacing w:after="80"/>
      </w:pPr>
      <w:r>
        <w:rPr>
          <w:rFonts w:ascii="Calibri" w:cs="Calibri" w:eastAsia="Calibri" w:hAnsi="Calibri"/>
          <w:sz w:val="22"/>
          <w:szCs w:val="22"/>
        </w:rPr>
        <w:t xml:space="preserve">§ 19 (Kassenprüfung): Die vier Unabhängigkeitskriterien — einschließlich des Näheverhältnisses — sind außergewöhnlich umfassend.</w:t>
      </w:r>
    </w:p>
    <w:p>
      <w:pPr>
        <w:pStyle w:val="ListParagraph"/>
        <w:numPr>
          <w:ilvl w:val="0"/>
          <w:numId w:val="1"/>
        </w:numPr>
        <w:spacing w:after="80"/>
      </w:pPr>
      <w:r>
        <w:rPr>
          <w:rFonts w:ascii="Calibri" w:cs="Calibri" w:eastAsia="Calibri" w:hAnsi="Calibri"/>
          <w:sz w:val="22"/>
          <w:szCs w:val="22"/>
        </w:rPr>
        <w:t xml:space="preserve">§ 25 Abs. 3 (Vermögensbindung): Doppelte Absicherung (LSB Berlin, Fallback Land Berlin) ist vorbildlich.</w:t>
      </w:r>
    </w:p>
    <w:p>
      <w:pPr>
        <w:spacing w:after="80"/>
      </w:pPr>
    </w:p>
    <w:p>
      <w:pPr>
        <w:pStyle w:val="Heading2"/>
        <w:spacing w:after="120" w:before="360"/>
      </w:pPr>
      <w:r>
        <w:t xml:space="preserve">3. Verbleibende Risiken</w:t>
      </w:r>
    </w:p>
    <w:p>
      <w:pPr>
        <w:pStyle w:val="Heading3"/>
        <w:spacing w:after="80" w:before="240"/>
      </w:pPr>
      <w:r>
        <w:t xml:space="preserve">3.1 Registerrisiken</w:t>
      </w:r>
    </w:p>
    <w:p>
      <w:pPr>
        <w:pStyle w:val="ListParagraph"/>
        <w:numPr>
          <w:ilvl w:val="0"/>
          <w:numId w:val="1"/>
        </w:numPr>
        <w:spacing w:after="80"/>
      </w:pPr>
      <w:r>
        <w:rPr>
          <w:rFonts w:ascii="Calibri" w:cs="Calibri" w:eastAsia="Calibri" w:hAnsi="Calibri"/>
          <w:sz w:val="22"/>
          <w:szCs w:val="22"/>
        </w:rPr>
        <w:t xml:space="preserve">§ 1 Abs. 2: Fehlendes Registergericht (Amtsgericht Charlottenburg). Kein Zurückweisungsgrund, aber vermeidbare Unklarheit.</w:t>
      </w:r>
    </w:p>
    <w:p>
      <w:pPr>
        <w:pStyle w:val="ListParagraph"/>
        <w:numPr>
          <w:ilvl w:val="0"/>
          <w:numId w:val="1"/>
        </w:numPr>
        <w:spacing w:after="80"/>
      </w:pPr>
      <w:r>
        <w:rPr>
          <w:rFonts w:ascii="Calibri" w:cs="Calibri" w:eastAsia="Calibri" w:hAnsi="Calibri"/>
          <w:sz w:val="22"/>
          <w:szCs w:val="22"/>
        </w:rPr>
        <w:t xml:space="preserve">§ 13 Abs. 3: Zwei-Wochen-Frist ist das gesetzliche Minimum. Bei Wachstum des Vereins könnte das Registergericht zukünftig auf eine angemessenere Frist hinweisen.</w:t>
      </w:r>
    </w:p>
    <w:p>
      <w:pPr>
        <w:spacing w:after="80"/>
      </w:pPr>
    </w:p>
    <w:p>
      <w:pPr>
        <w:pStyle w:val="Heading3"/>
        <w:spacing w:after="80" w:before="240"/>
      </w:pPr>
      <w:r>
        <w:t xml:space="preserve">3.2 Gemeinnützigkeitsrisiken</w:t>
      </w:r>
    </w:p>
    <w:p>
      <w:pPr>
        <w:pStyle w:val="ListParagraph"/>
        <w:numPr>
          <w:ilvl w:val="0"/>
          <w:numId w:val="1"/>
        </w:numPr>
        <w:spacing w:after="80"/>
      </w:pPr>
      <w:r>
        <w:rPr>
          <w:rFonts w:ascii="Calibri" w:cs="Calibri" w:eastAsia="Calibri" w:hAnsi="Calibri"/>
          <w:sz w:val="22"/>
          <w:szCs w:val="22"/>
        </w:rPr>
        <w:t xml:space="preserve">§ 2 Abs. 3 (Mehrspartenklausel): Das Finanzamt könnte bei der Erstveranlagung nach der Dokumentation der aufgenommenen Sportarten fragen. Die empfohlene Berichtspflicht gegenüber der MV vermindert dieses Risiko erheblich.</w:t>
      </w:r>
    </w:p>
    <w:p>
      <w:pPr>
        <w:pStyle w:val="ListParagraph"/>
        <w:numPr>
          <w:ilvl w:val="0"/>
          <w:numId w:val="1"/>
        </w:numPr>
        <w:spacing w:after="80"/>
      </w:pPr>
      <w:r>
        <w:rPr>
          <w:rFonts w:ascii="Calibri" w:cs="Calibri" w:eastAsia="Calibri" w:hAnsi="Calibri"/>
          <w:sz w:val="22"/>
          <w:szCs w:val="22"/>
        </w:rPr>
        <w:t xml:space="preserve">§ 23 Abs. 3 (Freistellung): Ohne Mittel- und Subsidiaritätsvorbehalt besteht ein theoretisches Risiko der Mittelverwendung zugunsten Einzelner. Mittleres Risiko; Änderung empfohlen.</w:t>
      </w:r>
    </w:p>
    <w:p>
      <w:pPr>
        <w:spacing w:after="80"/>
      </w:pPr>
    </w:p>
    <w:p>
      <w:pPr>
        <w:pStyle w:val="Heading3"/>
        <w:spacing w:after="80" w:before="240"/>
      </w:pPr>
      <w:r>
        <w:t xml:space="preserve">3.3 Governance-Risiken</w:t>
      </w:r>
    </w:p>
    <w:p>
      <w:pPr>
        <w:pStyle w:val="ListParagraph"/>
        <w:numPr>
          <w:ilvl w:val="0"/>
          <w:numId w:val="1"/>
        </w:numPr>
        <w:spacing w:after="80"/>
      </w:pPr>
      <w:r>
        <w:rPr>
          <w:rFonts w:ascii="Calibri" w:cs="Calibri" w:eastAsia="Calibri" w:hAnsi="Calibri"/>
          <w:sz w:val="22"/>
          <w:szCs w:val="22"/>
        </w:rPr>
        <w:t xml:space="preserve">§ 9 Abs. 6 (Berufungsfrist): Ausgeschlossene Mitglieder können bis zu 11 Monate auf ihre Berufungsentscheidung warten. Anfechtungsrisiko bei Anwendung von § 242 BGB.</w:t>
      </w:r>
    </w:p>
    <w:p>
      <w:pPr>
        <w:pStyle w:val="ListParagraph"/>
        <w:numPr>
          <w:ilvl w:val="0"/>
          <w:numId w:val="1"/>
        </w:numPr>
        <w:spacing w:after="80"/>
      </w:pPr>
      <w:r>
        <w:rPr>
          <w:rFonts w:ascii="Calibri" w:cs="Calibri" w:eastAsia="Calibri" w:hAnsi="Calibri"/>
          <w:sz w:val="22"/>
          <w:szCs w:val="22"/>
        </w:rPr>
        <w:t xml:space="preserve">§ 14 Abs. 5 (Textformabstimmung): Ohne explizite Satzungsregel ist Einstimmigkeit aller Mitglieder für Beschlüsse außerhalb der MV erforderlich — erhebliche operative Einschränkung.</w:t>
      </w:r>
    </w:p>
    <w:p>
      <w:pPr>
        <w:pStyle w:val="ListParagraph"/>
        <w:numPr>
          <w:ilvl w:val="0"/>
          <w:numId w:val="1"/>
        </w:numPr>
        <w:spacing w:after="80"/>
      </w:pPr>
      <w:r>
        <w:rPr>
          <w:rFonts w:ascii="Calibri" w:cs="Calibri" w:eastAsia="Calibri" w:hAnsi="Calibri"/>
          <w:sz w:val="22"/>
          <w:szCs w:val="22"/>
        </w:rPr>
        <w:t xml:space="preserve">§ 17 (Ausschüsse ohne Interessenkonfliktregelung): Governance-Lücke bei Sponsoring- und Beschaffungsentscheidungen auf Ausschussebene.</w:t>
      </w:r>
    </w:p>
    <w:p>
      <w:pPr>
        <w:spacing w:after="80"/>
      </w:pPr>
    </w:p>
    <w:p>
      <w:pPr>
        <w:pStyle w:val="Heading3"/>
        <w:spacing w:after="80" w:before="240"/>
      </w:pPr>
      <w:r>
        <w:t xml:space="preserve">3.4 Langfristige Risiken</w:t>
      </w:r>
    </w:p>
    <w:p>
      <w:pPr>
        <w:pStyle w:val="ListParagraph"/>
        <w:numPr>
          <w:ilvl w:val="0"/>
          <w:numId w:val="1"/>
        </w:numPr>
        <w:spacing w:after="80"/>
      </w:pPr>
      <w:r>
        <w:rPr>
          <w:rFonts w:ascii="Calibri" w:cs="Calibri" w:eastAsia="Calibri" w:hAnsi="Calibri"/>
          <w:sz w:val="22"/>
          <w:szCs w:val="22"/>
        </w:rPr>
        <w:t xml:space="preserve">Fehlende Staffelung der Vorstandsamtszeiten (§ 15): Bei vollständigem Vorstandswechsel geht institutionelles Gedächtnis verloren. Öffnungsklausel für gestaffelte Wahlen empfohlen.</w:t>
      </w:r>
    </w:p>
    <w:p>
      <w:pPr>
        <w:pStyle w:val="ListParagraph"/>
        <w:numPr>
          <w:ilvl w:val="0"/>
          <w:numId w:val="1"/>
        </w:numPr>
        <w:spacing w:after="80"/>
      </w:pPr>
      <w:r>
        <w:rPr>
          <w:rFonts w:ascii="Calibri" w:cs="Calibri" w:eastAsia="Calibri" w:hAnsi="Calibri"/>
          <w:sz w:val="22"/>
          <w:szCs w:val="22"/>
        </w:rPr>
        <w:t xml:space="preserve">Hinweisgeberschutz (§ 4): Wenn der Verein auf &gt;50 Beschäftigte wächst, tritt HinSchG-Pflicht ohne satzungsmäßige Grundlage ein. Optionale Öffnungsklausel jetzt sinnvoll.</w:t>
      </w:r>
    </w:p>
    <w:p>
      <w:pPr>
        <w:pStyle w:val="ListParagraph"/>
        <w:numPr>
          <w:ilvl w:val="0"/>
          <w:numId w:val="1"/>
        </w:numPr>
        <w:spacing w:after="80"/>
      </w:pPr>
      <w:r>
        <w:rPr>
          <w:rFonts w:ascii="Calibri" w:cs="Calibri" w:eastAsia="Calibri" w:hAnsi="Calibri"/>
          <w:sz w:val="22"/>
          <w:szCs w:val="22"/>
        </w:rPr>
        <w:t xml:space="preserve">Datenschutz bei Minderjährigen (§ 22): Bei aktivem Kinder- und Jugendprogramm ohne explizite Einwilligungsregel für Bildveröffentlichungen besteht zunehmendes Haftungsrisiko.</w:t>
      </w:r>
    </w:p>
    <w:p>
      <w:pPr>
        <w:spacing w:after="80"/>
      </w:pPr>
    </w:p>
    <w:p>
      <w:pPr>
        <w:pStyle w:val="Heading2"/>
        <w:spacing w:after="120" w:before="360"/>
      </w:pPr>
      <w:r>
        <w:t xml:space="preserve">4. Handlungsempfehlungen nach Priorität</w:t>
      </w:r>
    </w:p>
    <w:p>
      <w:pPr>
        <w:pStyle w:val="Heading3"/>
        <w:spacing w:after="80" w:before="240"/>
      </w:pPr>
      <w:r>
        <w:t xml:space="preserve">Sofort — vor Beschlussfassung durch die Mitgliederversammlung</w:t>
      </w:r>
    </w:p>
    <w:p>
      <w:pPr>
        <w:pStyle w:val="ListParagraph"/>
        <w:numPr>
          <w:ilvl w:val="0"/>
          <w:numId w:val="1"/>
        </w:numPr>
        <w:spacing w:after="80"/>
      </w:pPr>
      <w:r>
        <w:rPr>
          <w:rFonts w:ascii="Calibri" w:cs="Calibri" w:eastAsia="Calibri" w:hAnsi="Calibri"/>
          <w:sz w:val="22"/>
          <w:szCs w:val="22"/>
        </w:rPr>
        <w:t xml:space="preserve">§ 9 Abs. 6: Recht auf außerordentliche Berufungs-MV bei mehr als 4 Monaten Wartezeit einfügen (Anfechtungsrisiko).</w:t>
      </w:r>
    </w:p>
    <w:p>
      <w:pPr>
        <w:pStyle w:val="ListParagraph"/>
        <w:numPr>
          <w:ilvl w:val="0"/>
          <w:numId w:val="1"/>
        </w:numPr>
        <w:spacing w:after="80"/>
      </w:pPr>
      <w:r>
        <w:rPr>
          <w:rFonts w:ascii="Calibri" w:cs="Calibri" w:eastAsia="Calibri" w:hAnsi="Calibri"/>
          <w:sz w:val="22"/>
          <w:szCs w:val="22"/>
        </w:rPr>
        <w:t xml:space="preserve">§ 22 Abs. 3: Einwilligungserfordernis für Bildveröffentlichungen Minderjähriger aufnehmen (DSGVO-Compliance, Haftungsrisiko).</w:t>
      </w:r>
    </w:p>
    <w:p>
      <w:pPr>
        <w:pStyle w:val="ListParagraph"/>
        <w:numPr>
          <w:ilvl w:val="0"/>
          <w:numId w:val="1"/>
        </w:numPr>
        <w:spacing w:after="80"/>
      </w:pPr>
      <w:r>
        <w:rPr>
          <w:rFonts w:ascii="Calibri" w:cs="Calibri" w:eastAsia="Calibri" w:hAnsi="Calibri"/>
          <w:sz w:val="22"/>
          <w:szCs w:val="22"/>
        </w:rPr>
        <w:t xml:space="preserve">§ 23 Abs. 3: Mittel- und Subsidiaritätsvorbehalt für Freistellungszusage aufnehmen (Gemeinnützigkeitsschutz).</w:t>
      </w:r>
    </w:p>
    <w:p>
      <w:pPr>
        <w:spacing w:after="80"/>
      </w:pPr>
    </w:p>
    <w:p>
      <w:pPr>
        <w:pStyle w:val="Heading3"/>
        <w:spacing w:after="80" w:before="240"/>
      </w:pPr>
      <w:r>
        <w:t xml:space="preserve">Vor Beschlussfassung — empfohlen</w:t>
      </w:r>
    </w:p>
    <w:p>
      <w:pPr>
        <w:pStyle w:val="ListParagraph"/>
        <w:numPr>
          <w:ilvl w:val="0"/>
          <w:numId w:val="1"/>
        </w:numPr>
        <w:spacing w:after="80"/>
      </w:pPr>
      <w:r>
        <w:rPr>
          <w:rFonts w:ascii="Calibri" w:cs="Calibri" w:eastAsia="Calibri" w:hAnsi="Calibri"/>
          <w:sz w:val="22"/>
          <w:szCs w:val="22"/>
        </w:rPr>
        <w:t xml:space="preserve">§ 2 Abs. 3: Berichtspflicht des Vorstands gegenüber MV über neue/aufgegebene Sportarten ergänzen.</w:t>
      </w:r>
    </w:p>
    <w:p>
      <w:pPr>
        <w:pStyle w:val="ListParagraph"/>
        <w:numPr>
          <w:ilvl w:val="0"/>
          <w:numId w:val="1"/>
        </w:numPr>
        <w:spacing w:after="80"/>
      </w:pPr>
      <w:r>
        <w:rPr>
          <w:rFonts w:ascii="Calibri" w:cs="Calibri" w:eastAsia="Calibri" w:hAnsi="Calibri"/>
          <w:sz w:val="22"/>
          <w:szCs w:val="22"/>
        </w:rPr>
        <w:t xml:space="preserve">§ 4 Abs. 5 (neu): Optionale Hinweisgeberschutz-Öffnungsklausel aufnehmen.</w:t>
      </w:r>
    </w:p>
    <w:p>
      <w:pPr>
        <w:pStyle w:val="ListParagraph"/>
        <w:numPr>
          <w:ilvl w:val="0"/>
          <w:numId w:val="1"/>
        </w:numPr>
        <w:spacing w:after="80"/>
      </w:pPr>
      <w:r>
        <w:rPr>
          <w:rFonts w:ascii="Calibri" w:cs="Calibri" w:eastAsia="Calibri" w:hAnsi="Calibri"/>
          <w:sz w:val="22"/>
          <w:szCs w:val="22"/>
        </w:rPr>
        <w:t xml:space="preserve">§ 14 Abs. 5: Textformabstimmungsverfahren explizit regeln (statt pauschaler Verweis auf Gesetz).</w:t>
      </w:r>
    </w:p>
    <w:p>
      <w:pPr>
        <w:spacing w:after="80"/>
      </w:pPr>
    </w:p>
    <w:p>
      <w:pPr>
        <w:pStyle w:val="Heading3"/>
        <w:spacing w:after="80" w:before="240"/>
      </w:pPr>
      <w:r>
        <w:t xml:space="preserve">Vor Registeranmeldung</w:t>
      </w:r>
    </w:p>
    <w:p>
      <w:pPr>
        <w:pStyle w:val="ListParagraph"/>
        <w:numPr>
          <w:ilvl w:val="0"/>
          <w:numId w:val="1"/>
        </w:numPr>
        <w:spacing w:after="80"/>
      </w:pPr>
      <w:r>
        <w:rPr>
          <w:rFonts w:ascii="Calibri" w:cs="Calibri" w:eastAsia="Calibri" w:hAnsi="Calibri"/>
          <w:sz w:val="22"/>
          <w:szCs w:val="22"/>
        </w:rPr>
        <w:t xml:space="preserve">§ 1 Abs. 2: Amtsgericht Charlottenburg als Registergericht benennen.</w:t>
      </w:r>
    </w:p>
    <w:p>
      <w:pPr>
        <w:pStyle w:val="ListParagraph"/>
        <w:numPr>
          <w:ilvl w:val="0"/>
          <w:numId w:val="1"/>
        </w:numPr>
        <w:spacing w:after="80"/>
      </w:pPr>
      <w:r>
        <w:rPr>
          <w:rFonts w:ascii="Calibri" w:cs="Calibri" w:eastAsia="Calibri" w:hAnsi="Calibri"/>
          <w:sz w:val="22"/>
          <w:szCs w:val="22"/>
        </w:rPr>
        <w:t xml:space="preserve">§ 10 Abs. 4 (neu): Zweijährige Ausschlussfrist für Ordnungsmaßnahmen einfügen.</w:t>
      </w:r>
    </w:p>
    <w:p>
      <w:pPr>
        <w:spacing w:after="80"/>
      </w:pPr>
    </w:p>
    <w:p>
      <w:pPr>
        <w:pStyle w:val="Heading3"/>
        <w:spacing w:after="80" w:before="240"/>
      </w:pPr>
      <w:r>
        <w:t xml:space="preserve">Bei nächster Satzungsrevision (nach erheblichem Wachstum)</w:t>
      </w:r>
    </w:p>
    <w:p>
      <w:pPr>
        <w:pStyle w:val="ListParagraph"/>
        <w:numPr>
          <w:ilvl w:val="0"/>
          <w:numId w:val="1"/>
        </w:numPr>
        <w:spacing w:after="80"/>
      </w:pPr>
      <w:r>
        <w:rPr>
          <w:rFonts w:ascii="Calibri" w:cs="Calibri" w:eastAsia="Calibri" w:hAnsi="Calibri"/>
          <w:sz w:val="22"/>
          <w:szCs w:val="22"/>
        </w:rPr>
        <w:t xml:space="preserve">§ 13 Abs. 3: Einladungsfrist auf 3 Wochen erhöhen.</w:t>
      </w:r>
    </w:p>
    <w:p>
      <w:pPr>
        <w:pStyle w:val="ListParagraph"/>
        <w:numPr>
          <w:ilvl w:val="0"/>
          <w:numId w:val="1"/>
        </w:numPr>
        <w:spacing w:after="80"/>
      </w:pPr>
      <w:r>
        <w:rPr>
          <w:rFonts w:ascii="Calibri" w:cs="Calibri" w:eastAsia="Calibri" w:hAnsi="Calibri"/>
          <w:sz w:val="22"/>
          <w:szCs w:val="22"/>
        </w:rPr>
        <w:t xml:space="preserve">§ 15 Abs. 4: Öffnungsklausel für gestaffelte Amtszeiten einfügen.</w:t>
      </w:r>
    </w:p>
    <w:p>
      <w:pPr>
        <w:pStyle w:val="ListParagraph"/>
        <w:numPr>
          <w:ilvl w:val="0"/>
          <w:numId w:val="1"/>
        </w:numPr>
        <w:spacing w:after="80"/>
      </w:pPr>
      <w:r>
        <w:rPr>
          <w:rFonts w:ascii="Calibri" w:cs="Calibri" w:eastAsia="Calibri" w:hAnsi="Calibri"/>
          <w:sz w:val="22"/>
          <w:szCs w:val="22"/>
        </w:rPr>
        <w:t xml:space="preserve">§ 17 Abs. 1: Interessenkonfliktregelung auf Ausschüsse erstrecken.</w:t>
      </w:r>
    </w:p>
    <w:p>
      <w:pPr>
        <w:pStyle w:val="ListParagraph"/>
        <w:numPr>
          <w:ilvl w:val="0"/>
          <w:numId w:val="1"/>
        </w:numPr>
        <w:spacing w:after="80"/>
      </w:pPr>
      <w:r>
        <w:rPr>
          <w:rFonts w:ascii="Calibri" w:cs="Calibri" w:eastAsia="Calibri" w:hAnsi="Calibri"/>
          <w:sz w:val="22"/>
          <w:szCs w:val="22"/>
        </w:rPr>
        <w:t xml:space="preserve">§ 21 Abs. 2: Schutzklausel für Verbandssatzungsänderungen einfügen.</w:t>
      </w:r>
    </w:p>
    <w:p>
      <w:pPr>
        <w:pStyle w:val="ListParagraph"/>
        <w:numPr>
          <w:ilvl w:val="0"/>
          <w:numId w:val="1"/>
        </w:numPr>
        <w:spacing w:after="80"/>
      </w:pPr>
      <w:r>
        <w:rPr>
          <w:rFonts w:ascii="Calibri" w:cs="Calibri" w:eastAsia="Calibri" w:hAnsi="Calibri"/>
          <w:sz w:val="22"/>
          <w:szCs w:val="22"/>
        </w:rPr>
        <w:t xml:space="preserve">Prüfung: Kontrollgremium (Beirat mit Kontrollrechten oder Aufsichtsrat) für Verein mit &gt;500 Mitgliedern, hauptamtlichen Mitarbeitenden und öffentlichen Fördermitteln.</w:t>
      </w:r>
    </w:p>
    <w:p>
      <w:pPr>
        <w:spacing w:after="80"/>
      </w:pPr>
    </w:p>
    <w:p>
      <w:r>
        <w:br w:type="page"/>
      </w:r>
    </w:p>
    <w:p>
      <w:pPr>
        <w:pStyle w:val="Heading2"/>
        <w:spacing w:after="120" w:before="360"/>
      </w:pPr>
      <w:r>
        <w:t xml:space="preserve">5. Gesamtbewertung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shd w:fill="002855" w:val="clear"/>
            <w:tcMar>
              <w:top w:type="dxa" w:w="80"/>
              <w:left w:type="dxa" w:w="160"/>
              <w:bottom w:type="dxa" w:w="80"/>
              <w:right w:type="dxa" w:w="160"/>
            </w:tcMar>
          </w:tcPr>
          <w:p>
            <w:r>
              <w:rPr>
                <w:rFonts w:ascii="Calibri" w:cs="Calibri" w:eastAsia="Calibri" w:hAnsi="Calibri"/>
                <w:b/>
                <w:bCs/>
                <w:color w:val="FFFFFF"/>
                <w:sz w:val="20"/>
                <w:szCs w:val="20"/>
              </w:rPr>
              <w:t xml:space="preserve">Dimension</w:t>
            </w:r>
          </w:p>
        </w:tc>
        <w:tc>
          <w:tcPr>
            <w:tcW w:type="dxa" w:w="1800"/>
            <w:shd w:fill="002855" w:val="clear"/>
            <w:tcMar>
              <w:top w:type="dxa" w:w="80"/>
              <w:left w:type="dxa" w:w="160"/>
              <w:bottom w:type="dxa" w:w="80"/>
              <w:right w:type="dxa" w:w="160"/>
            </w:tcMar>
          </w:tcPr>
          <w:p>
            <w:r>
              <w:rPr>
                <w:rFonts w:ascii="Calibri" w:cs="Calibri" w:eastAsia="Calibri" w:hAnsi="Calibri"/>
                <w:b/>
                <w:bCs/>
                <w:color w:val="FFFFFF"/>
                <w:sz w:val="20"/>
                <w:szCs w:val="20"/>
              </w:rPr>
              <w:t xml:space="preserve">Bewertung</w:t>
            </w:r>
          </w:p>
        </w:tc>
        <w:tc>
          <w:tcPr>
            <w:tcW w:type="dxa" w:w="5360"/>
            <w:shd w:fill="002855" w:val="clear"/>
            <w:tcMar>
              <w:top w:type="dxa" w:w="80"/>
              <w:left w:type="dxa" w:w="160"/>
              <w:bottom w:type="dxa" w:w="80"/>
              <w:right w:type="dxa" w:w="160"/>
            </w:tcMar>
          </w:tcPr>
          <w:p>
            <w:r>
              <w:rPr>
                <w:rFonts w:ascii="Calibri" w:cs="Calibri" w:eastAsia="Calibri" w:hAnsi="Calibri"/>
                <w:b/>
                <w:bCs/>
                <w:color w:val="FFFFFF"/>
                <w:sz w:val="20"/>
                <w:szCs w:val="20"/>
              </w:rPr>
              <w:t xml:space="preserve">Anmerkung</w:t>
            </w:r>
          </w:p>
        </w:tc>
      </w:tr>
      <w:tr>
        <w:tc>
          <w:tcPr>
            <w:tcW w:type="dxa" w:w="2200"/>
            <w:shd w:fill="F5F5F5" w:val="clear"/>
            <w:tcMar>
              <w:top w:type="dxa" w:w="80"/>
              <w:left w:type="dxa" w:w="160"/>
              <w:bottom w:type="dxa" w:w="80"/>
              <w:right w:type="dxa" w:w="160"/>
            </w:tcMar>
          </w:tcPr>
          <w:p>
            <w:r>
              <w:rPr>
                <w:rFonts w:ascii="Calibri" w:cs="Calibri" w:eastAsia="Calibri" w:hAnsi="Calibri"/>
                <w:b/>
                <w:bCs/>
                <w:sz w:val="20"/>
                <w:szCs w:val="20"/>
              </w:rPr>
              <w:t xml:space="preserve">Vereinsrecht</w:t>
            </w:r>
          </w:p>
        </w:tc>
        <w:tc>
          <w:tcPr>
            <w:tcW w:type="dxa" w:w="1800"/>
            <w:shd w:fill="E8F5E9" w:val="clear"/>
            <w:tcMar>
              <w:top w:type="dxa" w:w="80"/>
              <w:left w:type="dxa" w:w="160"/>
              <w:bottom w:type="dxa" w:w="80"/>
              <w:right w:type="dxa" w:w="160"/>
            </w:tcMar>
          </w:tcPr>
          <w:p>
            <w:r>
              <w:rPr>
                <w:rFonts w:ascii="Calibri" w:cs="Calibri" w:eastAsia="Calibri" w:hAnsi="Calibri"/>
                <w:b/>
                <w:bCs/>
                <w:color w:val="1B5E20"/>
                <w:sz w:val="18"/>
                <w:szCs w:val="18"/>
              </w:rPr>
              <w:t xml:space="preserve">🟢 Exzellent</w:t>
            </w:r>
          </w:p>
        </w:tc>
        <w:tc>
          <w:tcPr>
            <w:tcW w:type="dxa" w:w="5360"/>
            <w:shd w:fill="FFFFFF" w:val="clear"/>
            <w:tcMar>
              <w:top w:type="dxa" w:w="80"/>
              <w:left w:type="dxa" w:w="160"/>
              <w:bottom w:type="dxa" w:w="80"/>
              <w:right w:type="dxa" w:w="160"/>
            </w:tcMar>
          </w:tcPr>
          <w:p>
            <w:r>
              <w:rPr>
                <w:rFonts w:ascii="Calibri" w:cs="Calibri" w:eastAsia="Calibri" w:hAnsi="Calibri"/>
                <w:sz w:val="18"/>
                <w:szCs w:val="18"/>
              </w:rPr>
              <w:t xml:space="preserve">Vollständige BGB-Konformität; alle zwingenden Regelungen (Zweck, Organe, Vertretung, Mitgliedschaft, Auflösung) korrekt umgesetzt.</w:t>
            </w:r>
          </w:p>
        </w:tc>
      </w:tr>
      <w:tr>
        <w:tc>
          <w:tcPr>
            <w:tcW w:type="dxa" w:w="2200"/>
            <w:shd w:fill="F5F5F5" w:val="clear"/>
            <w:tcMar>
              <w:top w:type="dxa" w:w="80"/>
              <w:left w:type="dxa" w:w="160"/>
              <w:bottom w:type="dxa" w:w="80"/>
              <w:right w:type="dxa" w:w="160"/>
            </w:tcMar>
          </w:tcPr>
          <w:p>
            <w:r>
              <w:rPr>
                <w:rFonts w:ascii="Calibri" w:cs="Calibri" w:eastAsia="Calibri" w:hAnsi="Calibri"/>
                <w:b/>
                <w:bCs/>
                <w:sz w:val="20"/>
                <w:szCs w:val="20"/>
              </w:rPr>
              <w:t xml:space="preserve">Gemeinnützigkeit</w:t>
            </w:r>
          </w:p>
        </w:tc>
        <w:tc>
          <w:tcPr>
            <w:tcW w:type="dxa" w:w="1800"/>
            <w:shd w:fill="E8F5E9" w:val="clear"/>
            <w:tcMar>
              <w:top w:type="dxa" w:w="80"/>
              <w:left w:type="dxa" w:w="160"/>
              <w:bottom w:type="dxa" w:w="80"/>
              <w:right w:type="dxa" w:w="160"/>
            </w:tcMar>
          </w:tcPr>
          <w:p>
            <w:r>
              <w:rPr>
                <w:rFonts w:ascii="Calibri" w:cs="Calibri" w:eastAsia="Calibri" w:hAnsi="Calibri"/>
                <w:b/>
                <w:bCs/>
                <w:color w:val="1B5E20"/>
                <w:sz w:val="18"/>
                <w:szCs w:val="18"/>
              </w:rPr>
              <w:t xml:space="preserve">🟢 Exzellent</w:t>
            </w:r>
          </w:p>
        </w:tc>
        <w:tc>
          <w:tcPr>
            <w:tcW w:type="dxa" w:w="5360"/>
            <w:shd w:fill="FFFFFF" w:val="clear"/>
            <w:tcMar>
              <w:top w:type="dxa" w:w="80"/>
              <w:left w:type="dxa" w:w="160"/>
              <w:bottom w:type="dxa" w:w="80"/>
              <w:right w:type="dxa" w:w="160"/>
            </w:tcMar>
          </w:tcPr>
          <w:p>
            <w:r>
              <w:rPr>
                <w:rFonts w:ascii="Calibri" w:cs="Calibri" w:eastAsia="Calibri" w:hAnsi="Calibri"/>
                <w:sz w:val="18"/>
                <w:szCs w:val="18"/>
              </w:rPr>
              <w:t xml:space="preserve">Mustersatzungsklauseln vollständig; Ausschließlichkeit, Selbstlosigkeit, Mittelverwendungsgebot und Vermögensbindung vorbildlich formuliert. Minimales Risiko bei § 2 Abs. 3 und § 23 Abs. 3 (Handlungsempfehlungen beachten).</w:t>
            </w:r>
          </w:p>
        </w:tc>
      </w:tr>
      <w:tr>
        <w:tc>
          <w:tcPr>
            <w:tcW w:type="dxa" w:w="2200"/>
            <w:shd w:fill="F5F5F5" w:val="clear"/>
            <w:tcMar>
              <w:top w:type="dxa" w:w="80"/>
              <w:left w:type="dxa" w:w="160"/>
              <w:bottom w:type="dxa" w:w="80"/>
              <w:right w:type="dxa" w:w="160"/>
            </w:tcMar>
          </w:tcPr>
          <w:p>
            <w:r>
              <w:rPr>
                <w:rFonts w:ascii="Calibri" w:cs="Calibri" w:eastAsia="Calibri" w:hAnsi="Calibri"/>
                <w:b/>
                <w:bCs/>
                <w:sz w:val="20"/>
                <w:szCs w:val="20"/>
              </w:rPr>
              <w:t xml:space="preserve">Registerfähigkeit</w:t>
            </w:r>
          </w:p>
        </w:tc>
        <w:tc>
          <w:tcPr>
            <w:tcW w:type="dxa" w:w="1800"/>
            <w:shd w:fill="E8F5E9" w:val="clear"/>
            <w:tcMar>
              <w:top w:type="dxa" w:w="80"/>
              <w:left w:type="dxa" w:w="160"/>
              <w:bottom w:type="dxa" w:w="80"/>
              <w:right w:type="dxa" w:w="160"/>
            </w:tcMar>
          </w:tcPr>
          <w:p>
            <w:r>
              <w:rPr>
                <w:rFonts w:ascii="Calibri" w:cs="Calibri" w:eastAsia="Calibri" w:hAnsi="Calibri"/>
                <w:b/>
                <w:bCs/>
                <w:color w:val="1B5E20"/>
                <w:sz w:val="18"/>
                <w:szCs w:val="18"/>
              </w:rPr>
              <w:t xml:space="preserve">🟢 Exzellent</w:t>
            </w:r>
          </w:p>
        </w:tc>
        <w:tc>
          <w:tcPr>
            <w:tcW w:type="dxa" w:w="5360"/>
            <w:shd w:fill="FFFFFF" w:val="clear"/>
            <w:tcMar>
              <w:top w:type="dxa" w:w="80"/>
              <w:left w:type="dxa" w:w="160"/>
              <w:bottom w:type="dxa" w:w="80"/>
              <w:right w:type="dxa" w:w="160"/>
            </w:tcMar>
          </w:tcPr>
          <w:p>
            <w:r>
              <w:rPr>
                <w:rFonts w:ascii="Calibri" w:cs="Calibri" w:eastAsia="Calibri" w:hAnsi="Calibri"/>
                <w:sz w:val="18"/>
                <w:szCs w:val="18"/>
              </w:rPr>
              <w:t xml:space="preserve">Keine zwingend zurückweisungsbegründenden Formulierungen. Kleinere Präzisierungen (Registergericht, Frist) erhöhen die Qualität, sind aber keine Eintragungshindernisse.</w:t>
            </w:r>
          </w:p>
        </w:tc>
      </w:tr>
      <w:tr>
        <w:tc>
          <w:tcPr>
            <w:tcW w:type="dxa" w:w="2200"/>
            <w:shd w:fill="F5F5F5" w:val="clear"/>
            <w:tcMar>
              <w:top w:type="dxa" w:w="80"/>
              <w:left w:type="dxa" w:w="160"/>
              <w:bottom w:type="dxa" w:w="80"/>
              <w:right w:type="dxa" w:w="160"/>
            </w:tcMar>
          </w:tcPr>
          <w:p>
            <w:r>
              <w:rPr>
                <w:rFonts w:ascii="Calibri" w:cs="Calibri" w:eastAsia="Calibri" w:hAnsi="Calibri"/>
                <w:b/>
                <w:bCs/>
                <w:sz w:val="20"/>
                <w:szCs w:val="20"/>
              </w:rPr>
              <w:t xml:space="preserve">Governance</w:t>
            </w:r>
          </w:p>
        </w:tc>
        <w:tc>
          <w:tcPr>
            <w:tcW w:type="dxa" w:w="1800"/>
            <w:shd w:fill="FFFDE7" w:val="clear"/>
            <w:tcMar>
              <w:top w:type="dxa" w:w="80"/>
              <w:left w:type="dxa" w:w="160"/>
              <w:bottom w:type="dxa" w:w="80"/>
              <w:right w:type="dxa" w:w="160"/>
            </w:tcMar>
          </w:tcPr>
          <w:p>
            <w:r>
              <w:rPr>
                <w:rFonts w:ascii="Calibri" w:cs="Calibri" w:eastAsia="Calibri" w:hAnsi="Calibri"/>
                <w:b/>
                <w:bCs/>
                <w:color w:val="4E342E"/>
                <w:sz w:val="18"/>
                <w:szCs w:val="18"/>
              </w:rPr>
              <w:t xml:space="preserve">🟡 Sehr gut</w:t>
            </w:r>
          </w:p>
        </w:tc>
        <w:tc>
          <w:tcPr>
            <w:tcW w:type="dxa" w:w="5360"/>
            <w:shd w:fill="FFFFFF" w:val="clear"/>
            <w:tcMar>
              <w:top w:type="dxa" w:w="80"/>
              <w:left w:type="dxa" w:w="160"/>
              <w:bottom w:type="dxa" w:w="80"/>
              <w:right w:type="dxa" w:w="160"/>
            </w:tcMar>
          </w:tcPr>
          <w:p>
            <w:r>
              <w:rPr>
                <w:rFonts w:ascii="Calibri" w:cs="Calibri" w:eastAsia="Calibri" w:hAnsi="Calibri"/>
                <w:sz w:val="18"/>
                <w:szCs w:val="18"/>
              </w:rPr>
              <w:t xml:space="preserve">Hervorragende Regelungen in §§ 3, 16, 19. Identifizierte Lücken bei Ausschuss-Interessenkonflikten (§ 17), Textformabstimmung (§ 14) und Berufungsfristen (§ 9) sind behebbar.</w:t>
            </w:r>
          </w:p>
        </w:tc>
      </w:tr>
      <w:tr>
        <w:tc>
          <w:tcPr>
            <w:tcW w:type="dxa" w:w="2200"/>
            <w:shd w:fill="F5F5F5" w:val="clear"/>
            <w:tcMar>
              <w:top w:type="dxa" w:w="80"/>
              <w:left w:type="dxa" w:w="160"/>
              <w:bottom w:type="dxa" w:w="80"/>
              <w:right w:type="dxa" w:w="160"/>
            </w:tcMar>
          </w:tcPr>
          <w:p>
            <w:r>
              <w:rPr>
                <w:rFonts w:ascii="Calibri" w:cs="Calibri" w:eastAsia="Calibri" w:hAnsi="Calibri"/>
                <w:b/>
                <w:bCs/>
                <w:sz w:val="20"/>
                <w:szCs w:val="20"/>
              </w:rPr>
              <w:t xml:space="preserve">Zukunftsfähigkeit</w:t>
            </w:r>
          </w:p>
        </w:tc>
        <w:tc>
          <w:tcPr>
            <w:tcW w:type="dxa" w:w="1800"/>
            <w:shd w:fill="FFFDE7" w:val="clear"/>
            <w:tcMar>
              <w:top w:type="dxa" w:w="80"/>
              <w:left w:type="dxa" w:w="160"/>
              <w:bottom w:type="dxa" w:w="80"/>
              <w:right w:type="dxa" w:w="160"/>
            </w:tcMar>
          </w:tcPr>
          <w:p>
            <w:r>
              <w:rPr>
                <w:rFonts w:ascii="Calibri" w:cs="Calibri" w:eastAsia="Calibri" w:hAnsi="Calibri"/>
                <w:b/>
                <w:bCs/>
                <w:color w:val="4E342E"/>
                <w:sz w:val="18"/>
                <w:szCs w:val="18"/>
              </w:rPr>
              <w:t xml:space="preserve">🟡 Sehr gut</w:t>
            </w:r>
          </w:p>
        </w:tc>
        <w:tc>
          <w:tcPr>
            <w:tcW w:type="dxa" w:w="5360"/>
            <w:shd w:fill="FFFFFF" w:val="clear"/>
            <w:tcMar>
              <w:top w:type="dxa" w:w="80"/>
              <w:left w:type="dxa" w:w="160"/>
              <w:bottom w:type="dxa" w:w="80"/>
              <w:right w:type="dxa" w:w="160"/>
            </w:tcMar>
          </w:tcPr>
          <w:p>
            <w:r>
              <w:rPr>
                <w:rFonts w:ascii="Calibri" w:cs="Calibri" w:eastAsia="Calibri" w:hAnsi="Calibri"/>
                <w:sz w:val="18"/>
                <w:szCs w:val="18"/>
              </w:rPr>
              <w:t xml:space="preserve">Für die aktuelle Vereinsgröße sehr gut geeignet. Bei erheblichem Wachstum sind Erweiterungen (Kontrollgremium, gestaffelte Amtszeiten, HinSchG) sinnvoll, aber nicht jetzt zwingend.</w:t>
            </w:r>
          </w:p>
        </w:tc>
      </w:tr>
      <w:tr>
        <w:tc>
          <w:tcPr>
            <w:tcW w:type="dxa" w:w="2200"/>
            <w:shd w:fill="F5F5F5" w:val="clear"/>
            <w:tcMar>
              <w:top w:type="dxa" w:w="80"/>
              <w:left w:type="dxa" w:w="160"/>
              <w:bottom w:type="dxa" w:w="80"/>
              <w:right w:type="dxa" w:w="160"/>
            </w:tcMar>
          </w:tcPr>
          <w:p>
            <w:r>
              <w:rPr>
                <w:rFonts w:ascii="Calibri" w:cs="Calibri" w:eastAsia="Calibri" w:hAnsi="Calibri"/>
                <w:b/>
                <w:bCs/>
                <w:sz w:val="20"/>
                <w:szCs w:val="20"/>
              </w:rPr>
              <w:t xml:space="preserve">Sprachliche Qualität</w:t>
            </w:r>
          </w:p>
        </w:tc>
        <w:tc>
          <w:tcPr>
            <w:tcW w:type="dxa" w:w="1800"/>
            <w:shd w:fill="E8F5E9" w:val="clear"/>
            <w:tcMar>
              <w:top w:type="dxa" w:w="80"/>
              <w:left w:type="dxa" w:w="160"/>
              <w:bottom w:type="dxa" w:w="80"/>
              <w:right w:type="dxa" w:w="160"/>
            </w:tcMar>
          </w:tcPr>
          <w:p>
            <w:r>
              <w:rPr>
                <w:rFonts w:ascii="Calibri" w:cs="Calibri" w:eastAsia="Calibri" w:hAnsi="Calibri"/>
                <w:b/>
                <w:bCs/>
                <w:color w:val="1B5E20"/>
                <w:sz w:val="18"/>
                <w:szCs w:val="18"/>
              </w:rPr>
              <w:t xml:space="preserve">🟢 Exzellent</w:t>
            </w:r>
          </w:p>
        </w:tc>
        <w:tc>
          <w:tcPr>
            <w:tcW w:type="dxa" w:w="5360"/>
            <w:shd w:fill="FFFFFF" w:val="clear"/>
            <w:tcMar>
              <w:top w:type="dxa" w:w="80"/>
              <w:left w:type="dxa" w:w="160"/>
              <w:bottom w:type="dxa" w:w="80"/>
              <w:right w:type="dxa" w:w="160"/>
            </w:tcMar>
          </w:tcPr>
          <w:p>
            <w:r>
              <w:rPr>
                <w:rFonts w:ascii="Calibri" w:cs="Calibri" w:eastAsia="Calibri" w:hAnsi="Calibri"/>
                <w:sz w:val="18"/>
                <w:szCs w:val="18"/>
              </w:rPr>
              <w:t xml:space="preserve">Präzise, einheitlich, juristische Fachbegriffe korrekt verwendet. Kein Auslegungsspielraum bei Kernregelungen.</w:t>
            </w:r>
          </w:p>
        </w:tc>
      </w:tr>
      <w:tr>
        <w:tc>
          <w:tcPr>
            <w:tcW w:type="dxa" w:w="2200"/>
            <w:shd w:fill="F5F5F5" w:val="clear"/>
            <w:tcMar>
              <w:top w:type="dxa" w:w="80"/>
              <w:left w:type="dxa" w:w="160"/>
              <w:bottom w:type="dxa" w:w="80"/>
              <w:right w:type="dxa" w:w="160"/>
            </w:tcMar>
          </w:tcPr>
          <w:p>
            <w:r>
              <w:rPr>
                <w:rFonts w:ascii="Calibri" w:cs="Calibri" w:eastAsia="Calibri" w:hAnsi="Calibri"/>
                <w:b/>
                <w:bCs/>
                <w:sz w:val="20"/>
                <w:szCs w:val="20"/>
              </w:rPr>
              <w:t xml:space="preserve">Praktische Umsetzbarkeit</w:t>
            </w:r>
          </w:p>
        </w:tc>
        <w:tc>
          <w:tcPr>
            <w:tcW w:type="dxa" w:w="1800"/>
            <w:shd w:fill="E8F5E9" w:val="clear"/>
            <w:tcMar>
              <w:top w:type="dxa" w:w="80"/>
              <w:left w:type="dxa" w:w="160"/>
              <w:bottom w:type="dxa" w:w="80"/>
              <w:right w:type="dxa" w:w="160"/>
            </w:tcMar>
          </w:tcPr>
          <w:p>
            <w:r>
              <w:rPr>
                <w:rFonts w:ascii="Calibri" w:cs="Calibri" w:eastAsia="Calibri" w:hAnsi="Calibri"/>
                <w:b/>
                <w:bCs/>
                <w:color w:val="1B5E20"/>
                <w:sz w:val="18"/>
                <w:szCs w:val="18"/>
              </w:rPr>
              <w:t xml:space="preserve">🟢 Exzellent</w:t>
            </w:r>
          </w:p>
        </w:tc>
        <w:tc>
          <w:tcPr>
            <w:tcW w:type="dxa" w:w="5360"/>
            <w:shd w:fill="FFFFFF" w:val="clear"/>
            <w:tcMar>
              <w:top w:type="dxa" w:w="80"/>
              <w:left w:type="dxa" w:w="160"/>
              <w:bottom w:type="dxa" w:w="80"/>
              <w:right w:type="dxa" w:w="160"/>
            </w:tcMar>
          </w:tcPr>
          <w:p>
            <w:r>
              <w:rPr>
                <w:rFonts w:ascii="Calibri" w:cs="Calibri" w:eastAsia="Calibri" w:hAnsi="Calibri"/>
                <w:sz w:val="18"/>
                <w:szCs w:val="18"/>
              </w:rPr>
              <w:t xml:space="preserve">Flexible Mehrspartenstruktur, ausreichende Delegationsregeln, virtuelle MV erlaubt, Vereinsordnungen als Steuerungsinstrument gut ausdifferenziert.</w:t>
            </w:r>
          </w:p>
        </w:tc>
      </w:tr>
    </w:tbl>
    <w:p>
      <w:pPr>
        <w:spacing w:after="80"/>
      </w:pPr>
    </w:p>
    <w:p>
      <w:pPr>
        <w:pBdr>
          <w:left w:val="thick" w:color="B8860B" w:sz="12"/>
        </w:pBdr>
        <w:spacing w:after="200" w:before="200"/>
        <w:ind w:left="300"/>
      </w:pPr>
      <w:r>
        <w:rPr>
          <w:rFonts w:ascii="Calibri" w:cs="Calibri" w:eastAsia="Calibri" w:hAnsi="Calibri"/>
          <w:b/>
          <w:bCs/>
          <w:color w:val="002855"/>
          <w:sz w:val="24"/>
          <w:szCs w:val="24"/>
        </w:rPr>
        <w:t xml:space="preserve">Abschließende Einschätzung: </w:t>
      </w:r>
      <w:r>
        <w:rPr>
          <w:rFonts w:ascii="Calibri" w:cs="Calibri" w:eastAsia="Calibri" w:hAnsi="Calibri"/>
          <w:sz w:val="22"/>
          <w:szCs w:val="22"/>
        </w:rPr>
        <w:t xml:space="preserve">Die Satzung des Sport-Club Metropolis 25 Berlin e.V. in der Version 5.0 ist in ihrer jetzigen Form eines der sorgfältiger ausgearbeiteten Satzungswerke für einen neuen gemeinnützigen Mehrspartenverein in Berlin. Sie kann in ihrer vorliegenden Fassung zur Beschlussfassung vorgelegt werden. Die ausgesprochenen Empfehlungen dienen der weiteren Optimierung, sind aber keine Voraussetzung für Eintragung oder Steuerbegünstigung.</w:t>
      </w:r>
    </w:p>
    <w:p>
      <w:pPr>
        <w:spacing w:after="80"/>
      </w:pPr>
    </w:p>
    <w:p>
      <w:pPr>
        <w:spacing w:after="120"/>
        <w:ind/>
      </w:pPr>
      <w:r>
        <w:rPr>
          <w:rFonts w:ascii="Calibri" w:cs="Calibri" w:eastAsia="Calibri" w:hAnsi="Calibri"/>
          <w:b w:val="false"/>
          <w:bCs w:val="false"/>
          <w:color w:val="888888"/>
          <w:sz w:val="18"/>
          <w:szCs w:val="18"/>
        </w:rPr>
        <w:t xml:space="preserve">Erstellt auf Grundlage der Satzungsfassung Version 5.0, Stand Juli 2026. Rechtslage: Stand 01. Juli 2026. Kein Mandatsverhältnis; dieses Gutachten ersetzt keine individuelle Rechtsberatung.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Calibri" w:cs="Calibri" w:eastAsia="Calibri" w:hAnsi="Calibri"/>
      <w:b/>
      <w:bCs/>
      <w:color w:val="002855"/>
      <w:sz w:val="28"/>
      <w:szCs w:val="28"/>
    </w:rPr>
  </w:style>
  <w:style w:type="paragraph" w:styleId="Heading2">
    <w:name w:val="Heading 2"/>
    <w:pPr>
      <w:spacing w:after="120" w:before="300"/>
    </w:pPr>
    <w:rPr>
      <w:rFonts w:ascii="Calibri" w:cs="Calibri" w:eastAsia="Calibri" w:hAnsi="Calibri"/>
      <w:b/>
      <w:bCs/>
      <w:color w:val="002855"/>
      <w:sz w:val="24"/>
      <w:szCs w:val="24"/>
    </w:rPr>
  </w:style>
  <w:style w:type="paragraph" w:styleId="Heading3">
    <w:name w:val="Heading 3"/>
    <w:pPr>
      <w:spacing w:after="80" w:before="20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Legal Due Diligence — Satzung Version 5.0</dc:title>
  <dc:creator>SC Metropolis 25 Berlin e.V.</dc:creator>
  <dc:description>Second Legal Opinion — Vereins-, Gemeinnützigkeits- und Governance-Prüfung</dc:description>
  <cp:lastModifiedBy>Un-named</cp:lastModifiedBy>
  <cp:revision>1</cp:revision>
  <dcterms:created xsi:type="dcterms:W3CDTF">2026-07-20T20:49:07.222Z</dcterms:created>
  <dcterms:modified xsi:type="dcterms:W3CDTF">2026-07-20T20:49:07.222Z</dcterms:modified>
</cp:coreProperties>
</file>

<file path=docProps/custom.xml><?xml version="1.0" encoding="utf-8"?>
<Properties xmlns="http://schemas.openxmlformats.org/officeDocument/2006/custom-properties" xmlns:vt="http://schemas.openxmlformats.org/officeDocument/2006/docPropsVTypes"/>
</file>