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E58FF" w14:textId="58A113F3" w:rsidR="0032450A" w:rsidRDefault="0032450A" w:rsidP="00F77C3B">
      <w:pPr>
        <w:pStyle w:val="Heading10"/>
        <w:spacing w:line="360" w:lineRule="auto"/>
      </w:pPr>
      <w:r w:rsidRPr="0032450A">
        <w:t>Author response to Editorial comments</w:t>
      </w:r>
    </w:p>
    <w:p w14:paraId="55531640" w14:textId="77777777" w:rsidR="0032450A" w:rsidRPr="007A5124" w:rsidRDefault="0032450A" w:rsidP="00F77C3B">
      <w:pPr>
        <w:spacing w:before="100" w:beforeAutospacing="1" w:after="100" w:afterAutospacing="1" w:line="360" w:lineRule="auto"/>
        <w:rPr>
          <w:rFonts w:eastAsia="Times New Roman"/>
          <w:b/>
          <w:bCs/>
          <w:sz w:val="24"/>
          <w:szCs w:val="24"/>
        </w:rPr>
      </w:pPr>
      <w:r w:rsidRPr="0073500D">
        <w:rPr>
          <w:rFonts w:eastAsia="Times New Roman"/>
          <w:sz w:val="24"/>
          <w:szCs w:val="24"/>
        </w:rPr>
        <w:t>Thank</w:t>
      </w:r>
      <w:r>
        <w:rPr>
          <w:rFonts w:eastAsia="Times New Roman"/>
          <w:sz w:val="24"/>
          <w:szCs w:val="24"/>
        </w:rPr>
        <w:t xml:space="preserve"> you so much again for your time and effort. We have tried to response every issue raised by you. </w:t>
      </w:r>
      <w:bookmarkStart w:id="0" w:name="_Hlk199005003"/>
      <w:r>
        <w:rPr>
          <w:rFonts w:eastAsia="Times New Roman"/>
          <w:sz w:val="24"/>
          <w:szCs w:val="24"/>
        </w:rPr>
        <w:t xml:space="preserve">All changes are made in the track change version. </w:t>
      </w:r>
      <w:bookmarkEnd w:id="0"/>
    </w:p>
    <w:p w14:paraId="33B8C9ED" w14:textId="2C156816" w:rsidR="00270B2B" w:rsidRDefault="00C631DC" w:rsidP="00F77C3B">
      <w:pPr>
        <w:spacing w:after="0" w:line="360" w:lineRule="auto"/>
        <w:rPr>
          <w:color w:val="FF0000"/>
          <w:sz w:val="24"/>
          <w:szCs w:val="24"/>
        </w:rPr>
      </w:pPr>
      <w:r w:rsidRPr="0002400A">
        <w:rPr>
          <w:b/>
          <w:bCs/>
          <w:sz w:val="24"/>
          <w:szCs w:val="24"/>
        </w:rPr>
        <w:t>Comment</w:t>
      </w:r>
      <w:r w:rsidR="00270B2B" w:rsidRPr="0002400A">
        <w:rPr>
          <w:b/>
          <w:bCs/>
          <w:sz w:val="24"/>
          <w:szCs w:val="24"/>
        </w:rPr>
        <w:t xml:space="preserve"> </w:t>
      </w:r>
      <w:r w:rsidR="0017598F" w:rsidRPr="0002400A">
        <w:rPr>
          <w:b/>
          <w:bCs/>
          <w:sz w:val="24"/>
          <w:szCs w:val="24"/>
        </w:rPr>
        <w:t>1</w:t>
      </w:r>
      <w:r w:rsidR="00270B2B" w:rsidRPr="0002400A">
        <w:rPr>
          <w:b/>
          <w:bCs/>
          <w:sz w:val="24"/>
          <w:szCs w:val="24"/>
        </w:rPr>
        <w:t>:</w:t>
      </w:r>
      <w:r w:rsidR="0017598F" w:rsidRPr="0017598F">
        <w:rPr>
          <w:b/>
          <w:bCs/>
          <w:color w:val="FF0000"/>
          <w:sz w:val="24"/>
          <w:szCs w:val="24"/>
        </w:rPr>
        <w:t xml:space="preserve"> </w:t>
      </w:r>
      <w:r w:rsidR="0002400A" w:rsidRPr="0002400A">
        <w:rPr>
          <w:color w:val="FF0000"/>
          <w:sz w:val="24"/>
          <w:szCs w:val="24"/>
        </w:rPr>
        <w:t>*line 64: The parentheticals should be made into one using a semi-colon before the references instead of having an ending parenthesis</w:t>
      </w:r>
    </w:p>
    <w:p w14:paraId="26C9C82D" w14:textId="18C885EC" w:rsidR="00B57E06" w:rsidRPr="0032450A" w:rsidRDefault="00BE6286" w:rsidP="00F77C3B">
      <w:pPr>
        <w:spacing w:line="360" w:lineRule="auto"/>
        <w:rPr>
          <w:color w:val="00B050"/>
          <w:sz w:val="24"/>
          <w:szCs w:val="24"/>
        </w:rPr>
      </w:pPr>
      <w:r w:rsidRPr="00F06855">
        <w:rPr>
          <w:b/>
          <w:bCs/>
          <w:sz w:val="24"/>
          <w:szCs w:val="24"/>
        </w:rPr>
        <w:t>Response</w:t>
      </w:r>
      <w:r w:rsidRPr="00BE6286">
        <w:rPr>
          <w:sz w:val="24"/>
          <w:szCs w:val="24"/>
        </w:rPr>
        <w:t>:</w:t>
      </w:r>
      <w:r w:rsidR="0032450A">
        <w:rPr>
          <w:color w:val="00B050"/>
          <w:sz w:val="24"/>
          <w:szCs w:val="24"/>
        </w:rPr>
        <w:t xml:space="preserve"> Updated</w:t>
      </w:r>
      <w:r w:rsidR="00FF44BA">
        <w:rPr>
          <w:color w:val="00B050"/>
          <w:sz w:val="24"/>
          <w:szCs w:val="24"/>
        </w:rPr>
        <w:t xml:space="preserve"> as “</w:t>
      </w:r>
      <w:r w:rsidR="00FF44BA" w:rsidRPr="00FF44BA">
        <w:rPr>
          <w:color w:val="00B050"/>
          <w:sz w:val="24"/>
          <w:szCs w:val="24"/>
        </w:rPr>
        <w:t>. Among these methods, some require yearly landing data and life history parameters (i.e., natural mortality, maximum age, age at maturity; Martell and Froese, 2013; Thorson and Cope, 2015; Prince et al., 2015; Zhou et al., 2017; Free et al., 2017; Canales et al., 2018), while other require length-frequency data in cohort analysis models (Hordyk et al., 2014; Nelson, 2017; Froese et al., 2018; Prince et al., 2015; Rudd and Thorson, 2018; Ault et al., 2019)</w:t>
      </w:r>
      <w:r w:rsidR="00FF44BA">
        <w:rPr>
          <w:color w:val="00B050"/>
          <w:sz w:val="24"/>
          <w:szCs w:val="24"/>
        </w:rPr>
        <w:t>” in lines between 61 to 66 on</w:t>
      </w:r>
      <w:r w:rsidR="0032450A">
        <w:rPr>
          <w:color w:val="00B050"/>
          <w:sz w:val="24"/>
          <w:szCs w:val="24"/>
        </w:rPr>
        <w:t xml:space="preserve"> the revised manuscript.</w:t>
      </w:r>
    </w:p>
    <w:p w14:paraId="218F6F1E" w14:textId="60B8D290" w:rsidR="00270B2B" w:rsidRPr="00F109F5" w:rsidRDefault="005F2D7E" w:rsidP="00F77C3B">
      <w:pPr>
        <w:spacing w:line="360" w:lineRule="auto"/>
        <w:rPr>
          <w:color w:val="FF0000"/>
          <w:sz w:val="24"/>
          <w:szCs w:val="24"/>
        </w:rPr>
      </w:pPr>
      <w:r w:rsidRPr="0002400A">
        <w:rPr>
          <w:b/>
          <w:bCs/>
          <w:sz w:val="24"/>
          <w:szCs w:val="24"/>
        </w:rPr>
        <w:t>Comment</w:t>
      </w:r>
      <w:r w:rsidR="00270B2B" w:rsidRPr="0002400A">
        <w:rPr>
          <w:b/>
          <w:bCs/>
          <w:sz w:val="24"/>
          <w:szCs w:val="24"/>
        </w:rPr>
        <w:t xml:space="preserve"> </w:t>
      </w:r>
      <w:r w:rsidR="0017598F" w:rsidRPr="0002400A">
        <w:rPr>
          <w:b/>
          <w:bCs/>
          <w:sz w:val="24"/>
          <w:szCs w:val="24"/>
        </w:rPr>
        <w:t>2</w:t>
      </w:r>
      <w:r w:rsidR="00270B2B" w:rsidRPr="0002400A">
        <w:rPr>
          <w:b/>
          <w:bCs/>
          <w:sz w:val="24"/>
          <w:szCs w:val="24"/>
        </w:rPr>
        <w:t>:</w:t>
      </w:r>
      <w:r w:rsidR="00270B2B" w:rsidRPr="00F109F5">
        <w:rPr>
          <w:color w:val="FF0000"/>
          <w:sz w:val="24"/>
          <w:szCs w:val="24"/>
        </w:rPr>
        <w:t xml:space="preserve"> </w:t>
      </w:r>
      <w:r w:rsidR="0002400A" w:rsidRPr="0002400A">
        <w:rPr>
          <w:color w:val="FF0000"/>
          <w:sz w:val="24"/>
          <w:szCs w:val="24"/>
        </w:rPr>
        <w:t>*lines 73-75: While lengths can help with this type of information, it should be noted that this is true only under certain applications. For example, LBSPR does not estimate recruitment, growth or natural mortality (those are all assumed values).</w:t>
      </w:r>
    </w:p>
    <w:p w14:paraId="0F938BD0" w14:textId="0720D9AF" w:rsidR="00270B2B" w:rsidRPr="00DD20D3" w:rsidRDefault="005F2D7E" w:rsidP="00F77C3B">
      <w:pPr>
        <w:spacing w:line="360" w:lineRule="auto"/>
        <w:rPr>
          <w:noProof/>
          <w14:ligatures w14:val="standardContextual"/>
        </w:rPr>
      </w:pPr>
      <w:r w:rsidRPr="005427C4">
        <w:rPr>
          <w:b/>
          <w:bCs/>
          <w:sz w:val="24"/>
          <w:szCs w:val="24"/>
        </w:rPr>
        <w:t>Response</w:t>
      </w:r>
      <w:r w:rsidR="00270B2B" w:rsidRPr="005427C4">
        <w:rPr>
          <w:b/>
          <w:bCs/>
          <w:sz w:val="24"/>
          <w:szCs w:val="24"/>
        </w:rPr>
        <w:t>:</w:t>
      </w:r>
      <w:r w:rsidR="00BA1095" w:rsidRPr="005427C4">
        <w:rPr>
          <w:b/>
          <w:bCs/>
          <w:sz w:val="24"/>
          <w:szCs w:val="24"/>
        </w:rPr>
        <w:t xml:space="preserve"> </w:t>
      </w:r>
      <w:r w:rsidR="0032450A">
        <w:rPr>
          <w:color w:val="00B050"/>
          <w:sz w:val="24"/>
          <w:szCs w:val="24"/>
        </w:rPr>
        <w:t>Updated</w:t>
      </w:r>
      <w:r w:rsidR="00334093">
        <w:rPr>
          <w:color w:val="00B050"/>
          <w:sz w:val="24"/>
          <w:szCs w:val="24"/>
        </w:rPr>
        <w:t xml:space="preserve"> as “</w:t>
      </w:r>
      <w:r w:rsidR="00334093" w:rsidRPr="00334093">
        <w:rPr>
          <w:color w:val="00B050"/>
          <w:sz w:val="24"/>
          <w:szCs w:val="24"/>
        </w:rPr>
        <w:t>While lengths can provide valuable insights for stock assessment, this is true only under certain applications; for example, the Length-Based Spawning Potential Ratio (LBSPR) method does not estimate recruitment, growth, or natural mortality, as these are assumed values. Nevertheless, the application of length frequency data-based stock assessment models has become increasingly popular, particularly in areas with low financial and technological resources (Gayanilo &amp; Sparre et al., 2005; Hoggarth et al., 2006)</w:t>
      </w:r>
      <w:r w:rsidR="00334093">
        <w:rPr>
          <w:color w:val="00B050"/>
          <w:sz w:val="24"/>
          <w:szCs w:val="24"/>
        </w:rPr>
        <w:t>” in lines between 74 to 79 on our revised manuscript.</w:t>
      </w:r>
    </w:p>
    <w:p w14:paraId="01746671" w14:textId="27136F92" w:rsidR="00270B2B" w:rsidRDefault="00B03A8A" w:rsidP="00F77C3B">
      <w:pPr>
        <w:spacing w:line="360" w:lineRule="auto"/>
        <w:rPr>
          <w:color w:val="EE0000"/>
          <w:sz w:val="24"/>
          <w:szCs w:val="24"/>
        </w:rPr>
      </w:pPr>
      <w:r w:rsidRPr="0002400A">
        <w:rPr>
          <w:b/>
          <w:bCs/>
          <w:sz w:val="24"/>
          <w:szCs w:val="24"/>
        </w:rPr>
        <w:t>Comment</w:t>
      </w:r>
      <w:r w:rsidR="00270B2B" w:rsidRPr="0002400A">
        <w:rPr>
          <w:b/>
          <w:bCs/>
          <w:sz w:val="24"/>
          <w:szCs w:val="24"/>
        </w:rPr>
        <w:t xml:space="preserve"> </w:t>
      </w:r>
      <w:r w:rsidR="00C52831" w:rsidRPr="0002400A">
        <w:rPr>
          <w:b/>
          <w:bCs/>
          <w:sz w:val="24"/>
          <w:szCs w:val="24"/>
        </w:rPr>
        <w:t>3</w:t>
      </w:r>
      <w:r w:rsidR="00270B2B" w:rsidRPr="0002400A">
        <w:rPr>
          <w:b/>
          <w:bCs/>
          <w:sz w:val="24"/>
          <w:szCs w:val="24"/>
        </w:rPr>
        <w:t>:</w:t>
      </w:r>
      <w:r w:rsidR="00270B2B" w:rsidRPr="0002400A">
        <w:rPr>
          <w:color w:val="EE0000"/>
          <w:sz w:val="24"/>
          <w:szCs w:val="24"/>
        </w:rPr>
        <w:t xml:space="preserve"> </w:t>
      </w:r>
      <w:r w:rsidR="0002400A" w:rsidRPr="0002400A">
        <w:rPr>
          <w:color w:val="EE0000"/>
          <w:sz w:val="24"/>
          <w:szCs w:val="24"/>
        </w:rPr>
        <w:t xml:space="preserve">*Methods section on Froese metrics. Those sections should describe the </w:t>
      </w:r>
      <w:proofErr w:type="spellStart"/>
      <w:r w:rsidR="0002400A" w:rsidRPr="0002400A">
        <w:rPr>
          <w:color w:val="EE0000"/>
          <w:sz w:val="24"/>
          <w:szCs w:val="24"/>
        </w:rPr>
        <w:t>metirc</w:t>
      </w:r>
      <w:proofErr w:type="spellEnd"/>
      <w:r w:rsidR="0002400A" w:rsidRPr="0002400A">
        <w:rPr>
          <w:color w:val="EE0000"/>
          <w:sz w:val="24"/>
          <w:szCs w:val="24"/>
        </w:rPr>
        <w:t xml:space="preserve"> itself, but I would not add the arbitrary reference points as well. This confuses metrics with reference points, and those reference points are set aside when using the Cope and Punt 2009 decision tree. If you want to add the Froese reference points, I would put them in section 2.2.4, but would strongly note that they do not consider the selectivity of the sampled lengths, this the application of the Cope and Punt 2009 decision tree.</w:t>
      </w:r>
    </w:p>
    <w:p w14:paraId="2599EE6A" w14:textId="77777777" w:rsidR="001F4E93" w:rsidRPr="001F4E93" w:rsidRDefault="00B03A8A" w:rsidP="001F4E93">
      <w:pPr>
        <w:pStyle w:val="ListParagraph"/>
        <w:numPr>
          <w:ilvl w:val="0"/>
          <w:numId w:val="13"/>
        </w:numPr>
        <w:spacing w:before="160" w:after="140" w:line="360" w:lineRule="auto"/>
        <w:ind w:left="0" w:firstLine="144"/>
        <w:rPr>
          <w:color w:val="00B050"/>
          <w:sz w:val="24"/>
          <w:szCs w:val="24"/>
        </w:rPr>
      </w:pPr>
      <w:r w:rsidRPr="0017598F">
        <w:rPr>
          <w:b/>
          <w:bCs/>
          <w:sz w:val="24"/>
          <w:szCs w:val="24"/>
        </w:rPr>
        <w:t>Response</w:t>
      </w:r>
      <w:r w:rsidR="00270B2B" w:rsidRPr="0017598F">
        <w:rPr>
          <w:b/>
          <w:bCs/>
          <w:sz w:val="24"/>
          <w:szCs w:val="24"/>
        </w:rPr>
        <w:t xml:space="preserve">: </w:t>
      </w:r>
      <w:r w:rsidR="001F4E93">
        <w:rPr>
          <w:color w:val="00B050"/>
          <w:sz w:val="24"/>
          <w:szCs w:val="24"/>
        </w:rPr>
        <w:t>Updated as “</w:t>
      </w:r>
      <w:r w:rsidR="001F4E93" w:rsidRPr="001F4E93">
        <w:rPr>
          <w:color w:val="00B050"/>
          <w:sz w:val="24"/>
          <w:szCs w:val="24"/>
        </w:rPr>
        <w:t>The first indicator Pmat, can be defined as the proportion of mature fish in the catch, and it represents the concept of “let them spawn!” The percentage of fish in the capture that have a length larger than the length at sexual maturity (Lmat) was determined using the following formula proposed by Froese (2004):</w:t>
      </w:r>
    </w:p>
    <w:p w14:paraId="1D5C2C5B" w14:textId="77777777" w:rsidR="001F4E93" w:rsidRPr="001F4E93" w:rsidRDefault="001F4E93" w:rsidP="001F4E93">
      <w:pPr>
        <w:rPr>
          <w:color w:val="00B050"/>
          <w:sz w:val="24"/>
          <w:szCs w:val="24"/>
        </w:rPr>
      </w:pPr>
      <w:r w:rsidRPr="001F4E93">
        <w:rPr>
          <w:color w:val="00B050"/>
          <w:sz w:val="24"/>
          <w:szCs w:val="24"/>
        </w:rPr>
        <w:lastRenderedPageBreak/>
        <w:t xml:space="preserve">                                       </w:t>
      </w:r>
      <m:oMath>
        <m:sSub>
          <m:sSubPr>
            <m:ctrlPr>
              <w:rPr>
                <w:rFonts w:ascii="Cambria Math" w:hAnsi="Cambria Math"/>
                <w:color w:val="00B050"/>
                <w:sz w:val="24"/>
                <w:szCs w:val="24"/>
              </w:rPr>
            </m:ctrlPr>
          </m:sSubPr>
          <m:e>
            <m:r>
              <w:rPr>
                <w:rFonts w:ascii="Cambria Math" w:hAnsi="Cambria Math"/>
                <w:color w:val="00B050"/>
                <w:sz w:val="24"/>
                <w:szCs w:val="24"/>
              </w:rPr>
              <m:t>P</m:t>
            </m:r>
          </m:e>
          <m:sub>
            <m:r>
              <w:rPr>
                <w:rFonts w:ascii="Cambria Math" w:hAnsi="Cambria Math"/>
                <w:color w:val="00B050"/>
                <w:sz w:val="24"/>
                <w:szCs w:val="24"/>
              </w:rPr>
              <m:t>mat</m:t>
            </m:r>
          </m:sub>
        </m:sSub>
        <m:r>
          <m:rPr>
            <m:sty m:val="p"/>
          </m:rPr>
          <w:rPr>
            <w:rFonts w:ascii="Cambria Math" w:hAnsi="Cambria Math"/>
            <w:color w:val="00B050"/>
            <w:sz w:val="24"/>
            <w:szCs w:val="24"/>
          </w:rPr>
          <m:t>=</m:t>
        </m:r>
        <m:nary>
          <m:naryPr>
            <m:chr m:val="∑"/>
            <m:grow m:val="1"/>
            <m:ctrlPr>
              <w:rPr>
                <w:rFonts w:ascii="Cambria Math" w:hAnsi="Cambria Math"/>
                <w:color w:val="00B050"/>
                <w:sz w:val="24"/>
                <w:szCs w:val="24"/>
              </w:rPr>
            </m:ctrlPr>
          </m:naryPr>
          <m:sub>
            <m:sSub>
              <m:sSubPr>
                <m:ctrlPr>
                  <w:rPr>
                    <w:rFonts w:ascii="Cambria Math" w:hAnsi="Cambria Math"/>
                    <w:color w:val="00B050"/>
                    <w:sz w:val="24"/>
                    <w:szCs w:val="24"/>
                  </w:rPr>
                </m:ctrlPr>
              </m:sSubPr>
              <m:e>
                <m:r>
                  <w:rPr>
                    <w:rFonts w:ascii="Cambria Math" w:hAnsi="Cambria Math"/>
                    <w:color w:val="00B050"/>
                    <w:sz w:val="24"/>
                    <w:szCs w:val="24"/>
                  </w:rPr>
                  <m:t>L</m:t>
                </m:r>
              </m:e>
              <m:sub>
                <m:r>
                  <w:rPr>
                    <w:rFonts w:ascii="Cambria Math" w:hAnsi="Cambria Math"/>
                    <w:color w:val="00B050"/>
                    <w:sz w:val="24"/>
                    <w:szCs w:val="24"/>
                  </w:rPr>
                  <m:t>mat</m:t>
                </m:r>
              </m:sub>
            </m:sSub>
          </m:sub>
          <m:sup>
            <m:sSub>
              <m:sSubPr>
                <m:ctrlPr>
                  <w:rPr>
                    <w:rFonts w:ascii="Cambria Math" w:hAnsi="Cambria Math"/>
                    <w:color w:val="00B050"/>
                    <w:sz w:val="24"/>
                    <w:szCs w:val="24"/>
                  </w:rPr>
                </m:ctrlPr>
              </m:sSubPr>
              <m:e>
                <m:r>
                  <w:rPr>
                    <w:rFonts w:ascii="Cambria Math" w:hAnsi="Cambria Math"/>
                    <w:color w:val="00B050"/>
                    <w:sz w:val="24"/>
                    <w:szCs w:val="24"/>
                  </w:rPr>
                  <m:t>L</m:t>
                </m:r>
              </m:e>
              <m:sub>
                <m:r>
                  <w:rPr>
                    <w:rFonts w:ascii="Cambria Math" w:hAnsi="Cambria Math"/>
                    <w:color w:val="00B050"/>
                    <w:sz w:val="24"/>
                    <w:szCs w:val="24"/>
                  </w:rPr>
                  <m:t>max</m:t>
                </m:r>
              </m:sub>
            </m:sSub>
          </m:sup>
          <m:e>
            <m:sSub>
              <m:sSubPr>
                <m:ctrlPr>
                  <w:rPr>
                    <w:rFonts w:ascii="Cambria Math" w:hAnsi="Cambria Math"/>
                    <w:color w:val="00B050"/>
                    <w:sz w:val="24"/>
                    <w:szCs w:val="24"/>
                  </w:rPr>
                </m:ctrlPr>
              </m:sSubPr>
              <m:e>
                <m:r>
                  <m:rPr>
                    <m:sty m:val="p"/>
                  </m:rPr>
                  <w:rPr>
                    <w:rFonts w:ascii="Cambria Math" w:hAnsi="Cambria Math"/>
                    <w:color w:val="00B050"/>
                    <w:sz w:val="24"/>
                    <w:szCs w:val="24"/>
                  </w:rPr>
                  <m:t>P</m:t>
                </m:r>
              </m:e>
              <m:sub>
                <m:r>
                  <w:rPr>
                    <w:rFonts w:ascii="Cambria Math" w:hAnsi="Cambria Math"/>
                    <w:color w:val="00B050"/>
                    <w:sz w:val="24"/>
                    <w:szCs w:val="24"/>
                  </w:rPr>
                  <m:t>L</m:t>
                </m:r>
              </m:sub>
            </m:sSub>
          </m:e>
        </m:nary>
      </m:oMath>
      <w:r w:rsidRPr="001F4E93">
        <w:rPr>
          <w:color w:val="00B050"/>
          <w:sz w:val="24"/>
          <w:szCs w:val="24"/>
        </w:rPr>
        <w:t>………………... (5)</w:t>
      </w:r>
    </w:p>
    <w:p w14:paraId="741E5C59" w14:textId="77777777" w:rsidR="001F4E93" w:rsidRPr="001F4E93" w:rsidRDefault="001F4E93" w:rsidP="001F4E93">
      <w:pPr>
        <w:rPr>
          <w:color w:val="00B050"/>
          <w:sz w:val="24"/>
          <w:szCs w:val="24"/>
        </w:rPr>
      </w:pPr>
      <w:r w:rsidRPr="001F4E93">
        <w:rPr>
          <w:color w:val="00B050"/>
          <w:sz w:val="24"/>
          <w:szCs w:val="24"/>
        </w:rPr>
        <w:t>Where, PL is the percentage of fish in the catch composition with a length interval of L.</w:t>
      </w:r>
    </w:p>
    <w:p w14:paraId="4BC9B280" w14:textId="77777777" w:rsidR="001F4E93" w:rsidRPr="001F4E93" w:rsidRDefault="001F4E93" w:rsidP="001F4E93">
      <w:pPr>
        <w:pStyle w:val="ListParagraph"/>
        <w:numPr>
          <w:ilvl w:val="0"/>
          <w:numId w:val="13"/>
        </w:numPr>
        <w:spacing w:before="160" w:after="140" w:line="360" w:lineRule="auto"/>
        <w:ind w:left="288" w:hanging="288"/>
        <w:rPr>
          <w:color w:val="00B050"/>
          <w:sz w:val="24"/>
          <w:szCs w:val="24"/>
        </w:rPr>
      </w:pPr>
      <w:r w:rsidRPr="001F4E93">
        <w:rPr>
          <w:color w:val="00B050"/>
          <w:sz w:val="24"/>
          <w:szCs w:val="24"/>
        </w:rPr>
        <w:t xml:space="preserve">Indicator two Popt, defined as the percentage of fish caught at their optimal length (Lopt), which is the length that maximizes the yield and </w:t>
      </w:r>
      <w:proofErr w:type="gramStart"/>
      <w:r w:rsidRPr="001F4E93">
        <w:rPr>
          <w:color w:val="00B050"/>
          <w:sz w:val="24"/>
          <w:szCs w:val="24"/>
        </w:rPr>
        <w:t>revenue..</w:t>
      </w:r>
      <w:proofErr w:type="gramEnd"/>
      <w:r w:rsidRPr="001F4E93">
        <w:rPr>
          <w:color w:val="00B050"/>
          <w:sz w:val="24"/>
          <w:szCs w:val="24"/>
        </w:rPr>
        <w:t xml:space="preserve"> Popt was calculated by following formula:</w:t>
      </w:r>
    </w:p>
    <w:p w14:paraId="13D1AF32" w14:textId="77777777" w:rsidR="001F4E93" w:rsidRPr="001F4E93" w:rsidRDefault="001F4E93" w:rsidP="001F4E93">
      <w:pPr>
        <w:pStyle w:val="ListParagraph"/>
        <w:ind w:left="288"/>
        <w:rPr>
          <w:color w:val="00B050"/>
          <w:sz w:val="24"/>
          <w:szCs w:val="24"/>
        </w:rPr>
      </w:pPr>
    </w:p>
    <w:p w14:paraId="6E3ACAB5" w14:textId="77777777" w:rsidR="001F4E93" w:rsidRPr="001F4E93" w:rsidRDefault="00000000" w:rsidP="001F4E93">
      <w:pPr>
        <w:pStyle w:val="ListParagraph"/>
        <w:ind w:left="792"/>
        <w:jc w:val="center"/>
        <w:rPr>
          <w:color w:val="00B050"/>
          <w:sz w:val="24"/>
          <w:szCs w:val="24"/>
        </w:rPr>
      </w:pPr>
      <m:oMath>
        <m:sSub>
          <m:sSubPr>
            <m:ctrlPr>
              <w:rPr>
                <w:rFonts w:ascii="Cambria Math" w:hAnsi="Cambria Math"/>
                <w:color w:val="00B050"/>
                <w:sz w:val="24"/>
                <w:szCs w:val="24"/>
              </w:rPr>
            </m:ctrlPr>
          </m:sSubPr>
          <m:e>
            <m:r>
              <w:rPr>
                <w:rFonts w:ascii="Cambria Math" w:hAnsi="Cambria Math"/>
                <w:color w:val="00B050"/>
                <w:sz w:val="24"/>
                <w:szCs w:val="24"/>
              </w:rPr>
              <m:t>P</m:t>
            </m:r>
          </m:e>
          <m:sub>
            <m:r>
              <w:rPr>
                <w:rFonts w:ascii="Cambria Math" w:hAnsi="Cambria Math"/>
                <w:color w:val="00B050"/>
                <w:sz w:val="24"/>
                <w:szCs w:val="24"/>
              </w:rPr>
              <m:t>opt</m:t>
            </m:r>
          </m:sub>
        </m:sSub>
        <m:r>
          <m:rPr>
            <m:sty m:val="p"/>
          </m:rPr>
          <w:rPr>
            <w:rFonts w:ascii="Cambria Math" w:hAnsi="Cambria Math"/>
            <w:color w:val="00B050"/>
            <w:sz w:val="24"/>
            <w:szCs w:val="24"/>
          </w:rPr>
          <m:t>=</m:t>
        </m:r>
        <m:nary>
          <m:naryPr>
            <m:chr m:val="∑"/>
            <m:grow m:val="1"/>
            <m:ctrlPr>
              <w:rPr>
                <w:rFonts w:ascii="Cambria Math" w:hAnsi="Cambria Math"/>
                <w:color w:val="00B050"/>
                <w:sz w:val="24"/>
                <w:szCs w:val="24"/>
              </w:rPr>
            </m:ctrlPr>
          </m:naryPr>
          <m:sub>
            <m:sSub>
              <m:sSubPr>
                <m:ctrlPr>
                  <w:rPr>
                    <w:rFonts w:ascii="Cambria Math" w:hAnsi="Cambria Math"/>
                    <w:color w:val="00B050"/>
                    <w:sz w:val="24"/>
                    <w:szCs w:val="24"/>
                  </w:rPr>
                </m:ctrlPr>
              </m:sSubPr>
              <m:e>
                <m:r>
                  <m:rPr>
                    <m:sty m:val="p"/>
                  </m:rPr>
                  <w:rPr>
                    <w:rFonts w:ascii="Cambria Math" w:hAnsi="Cambria Math"/>
                    <w:color w:val="00B050"/>
                    <w:sz w:val="24"/>
                    <w:szCs w:val="24"/>
                  </w:rPr>
                  <m:t>0.9</m:t>
                </m:r>
                <m:r>
                  <w:rPr>
                    <w:rFonts w:ascii="Cambria Math" w:hAnsi="Cambria Math"/>
                    <w:color w:val="00B050"/>
                    <w:sz w:val="24"/>
                    <w:szCs w:val="24"/>
                  </w:rPr>
                  <m:t>L</m:t>
                </m:r>
              </m:e>
              <m:sub>
                <m:r>
                  <w:rPr>
                    <w:rFonts w:ascii="Cambria Math" w:hAnsi="Cambria Math"/>
                    <w:color w:val="00B050"/>
                    <w:sz w:val="24"/>
                    <w:szCs w:val="24"/>
                  </w:rPr>
                  <m:t>opt</m:t>
                </m:r>
              </m:sub>
            </m:sSub>
          </m:sub>
          <m:sup>
            <m:sSub>
              <m:sSubPr>
                <m:ctrlPr>
                  <w:rPr>
                    <w:rFonts w:ascii="Cambria Math" w:hAnsi="Cambria Math"/>
                    <w:color w:val="00B050"/>
                    <w:sz w:val="24"/>
                    <w:szCs w:val="24"/>
                  </w:rPr>
                </m:ctrlPr>
              </m:sSubPr>
              <m:e>
                <m:r>
                  <m:rPr>
                    <m:sty m:val="p"/>
                  </m:rPr>
                  <w:rPr>
                    <w:rFonts w:ascii="Cambria Math" w:hAnsi="Cambria Math"/>
                    <w:color w:val="00B050"/>
                    <w:sz w:val="24"/>
                    <w:szCs w:val="24"/>
                  </w:rPr>
                  <m:t>1.1</m:t>
                </m:r>
                <m:r>
                  <w:rPr>
                    <w:rFonts w:ascii="Cambria Math" w:hAnsi="Cambria Math"/>
                    <w:color w:val="00B050"/>
                    <w:sz w:val="24"/>
                    <w:szCs w:val="24"/>
                  </w:rPr>
                  <m:t>L</m:t>
                </m:r>
              </m:e>
              <m:sub>
                <m:r>
                  <w:rPr>
                    <w:rFonts w:ascii="Cambria Math" w:hAnsi="Cambria Math"/>
                    <w:color w:val="00B050"/>
                    <w:sz w:val="24"/>
                    <w:szCs w:val="24"/>
                  </w:rPr>
                  <m:t>opt</m:t>
                </m:r>
              </m:sub>
            </m:sSub>
          </m:sup>
          <m:e>
            <m:sSub>
              <m:sSubPr>
                <m:ctrlPr>
                  <w:rPr>
                    <w:rFonts w:ascii="Cambria Math" w:hAnsi="Cambria Math"/>
                    <w:color w:val="00B050"/>
                    <w:sz w:val="24"/>
                    <w:szCs w:val="24"/>
                  </w:rPr>
                </m:ctrlPr>
              </m:sSubPr>
              <m:e>
                <m:r>
                  <m:rPr>
                    <m:sty m:val="p"/>
                  </m:rPr>
                  <w:rPr>
                    <w:rFonts w:ascii="Cambria Math" w:hAnsi="Cambria Math"/>
                    <w:color w:val="00B050"/>
                    <w:sz w:val="24"/>
                    <w:szCs w:val="24"/>
                  </w:rPr>
                  <m:t>P</m:t>
                </m:r>
              </m:e>
              <m:sub>
                <m:r>
                  <w:rPr>
                    <w:rFonts w:ascii="Cambria Math" w:hAnsi="Cambria Math"/>
                    <w:color w:val="00B050"/>
                    <w:sz w:val="24"/>
                    <w:szCs w:val="24"/>
                  </w:rPr>
                  <m:t>L</m:t>
                </m:r>
              </m:sub>
            </m:sSub>
          </m:e>
        </m:nary>
      </m:oMath>
      <w:r w:rsidR="001F4E93" w:rsidRPr="001F4E93">
        <w:rPr>
          <w:color w:val="00B050"/>
          <w:sz w:val="24"/>
          <w:szCs w:val="24"/>
        </w:rPr>
        <w:t>…………… (6)</w:t>
      </w:r>
    </w:p>
    <w:p w14:paraId="607F6EC6" w14:textId="77777777" w:rsidR="001F4E93" w:rsidRPr="001F4E93" w:rsidRDefault="001F4E93" w:rsidP="001F4E93">
      <w:pPr>
        <w:pStyle w:val="ListParagraph"/>
        <w:numPr>
          <w:ilvl w:val="0"/>
          <w:numId w:val="13"/>
        </w:numPr>
        <w:spacing w:before="160" w:after="140" w:line="360" w:lineRule="auto"/>
        <w:ind w:left="288" w:firstLine="0"/>
        <w:rPr>
          <w:color w:val="00B050"/>
          <w:sz w:val="24"/>
          <w:szCs w:val="24"/>
        </w:rPr>
      </w:pPr>
      <w:r w:rsidRPr="001F4E93">
        <w:rPr>
          <w:color w:val="00B050"/>
          <w:sz w:val="24"/>
          <w:szCs w:val="24"/>
        </w:rPr>
        <w:t xml:space="preserve"> The Pmega, defined as the percentage of old and larger fish (mega = mega spawner) in the catch composition. The metric is calculated as the proportion of mature fish in the catch that exceed the optimal length by 10%. The following equation was used to estimate Pmega:</w:t>
      </w:r>
    </w:p>
    <w:p w14:paraId="3A7C0D29" w14:textId="42F7B63F" w:rsidR="00270B2B" w:rsidRPr="001F4E93" w:rsidRDefault="001F4E93" w:rsidP="001F4E93">
      <w:pPr>
        <w:ind w:left="432"/>
        <w:rPr>
          <w:color w:val="00B050"/>
          <w:sz w:val="24"/>
          <w:szCs w:val="24"/>
        </w:rPr>
      </w:pPr>
      <w:r w:rsidRPr="001F4E93">
        <w:rPr>
          <w:color w:val="00B050"/>
          <w:sz w:val="24"/>
          <w:szCs w:val="24"/>
        </w:rPr>
        <w:t xml:space="preserve">                                              </w:t>
      </w:r>
      <m:oMath>
        <m:sSub>
          <m:sSubPr>
            <m:ctrlPr>
              <w:rPr>
                <w:rFonts w:ascii="Cambria Math" w:hAnsi="Cambria Math"/>
                <w:color w:val="00B050"/>
                <w:sz w:val="24"/>
                <w:szCs w:val="24"/>
              </w:rPr>
            </m:ctrlPr>
          </m:sSubPr>
          <m:e>
            <m:r>
              <w:rPr>
                <w:rFonts w:ascii="Cambria Math" w:hAnsi="Cambria Math"/>
                <w:color w:val="00B050"/>
                <w:sz w:val="24"/>
                <w:szCs w:val="24"/>
              </w:rPr>
              <m:t>P</m:t>
            </m:r>
          </m:e>
          <m:sub>
            <m:r>
              <w:rPr>
                <w:rFonts w:ascii="Cambria Math" w:hAnsi="Cambria Math"/>
                <w:color w:val="00B050"/>
                <w:sz w:val="24"/>
                <w:szCs w:val="24"/>
              </w:rPr>
              <m:t>mega</m:t>
            </m:r>
          </m:sub>
        </m:sSub>
        <m:r>
          <m:rPr>
            <m:sty m:val="p"/>
          </m:rPr>
          <w:rPr>
            <w:rFonts w:ascii="Cambria Math" w:hAnsi="Cambria Math"/>
            <w:color w:val="00B050"/>
            <w:sz w:val="24"/>
            <w:szCs w:val="24"/>
          </w:rPr>
          <m:t>=</m:t>
        </m:r>
        <m:nary>
          <m:naryPr>
            <m:chr m:val="∑"/>
            <m:grow m:val="1"/>
            <m:ctrlPr>
              <w:rPr>
                <w:rFonts w:ascii="Cambria Math" w:hAnsi="Cambria Math"/>
                <w:color w:val="00B050"/>
                <w:sz w:val="24"/>
                <w:szCs w:val="24"/>
              </w:rPr>
            </m:ctrlPr>
          </m:naryPr>
          <m:sub>
            <m:sSub>
              <m:sSubPr>
                <m:ctrlPr>
                  <w:rPr>
                    <w:rFonts w:ascii="Cambria Math" w:hAnsi="Cambria Math"/>
                    <w:color w:val="00B050"/>
                    <w:sz w:val="24"/>
                    <w:szCs w:val="24"/>
                  </w:rPr>
                </m:ctrlPr>
              </m:sSubPr>
              <m:e>
                <m:r>
                  <m:rPr>
                    <m:sty m:val="p"/>
                  </m:rPr>
                  <w:rPr>
                    <w:rFonts w:ascii="Cambria Math" w:hAnsi="Cambria Math"/>
                    <w:color w:val="00B050"/>
                    <w:sz w:val="24"/>
                    <w:szCs w:val="24"/>
                  </w:rPr>
                  <m:t>1.1</m:t>
                </m:r>
                <m:r>
                  <w:rPr>
                    <w:rFonts w:ascii="Cambria Math" w:hAnsi="Cambria Math"/>
                    <w:color w:val="00B050"/>
                    <w:sz w:val="24"/>
                    <w:szCs w:val="24"/>
                  </w:rPr>
                  <m:t>L</m:t>
                </m:r>
              </m:e>
              <m:sub>
                <m:r>
                  <w:rPr>
                    <w:rFonts w:ascii="Cambria Math" w:hAnsi="Cambria Math"/>
                    <w:color w:val="00B050"/>
                    <w:sz w:val="24"/>
                    <w:szCs w:val="24"/>
                  </w:rPr>
                  <m:t>opt</m:t>
                </m:r>
              </m:sub>
            </m:sSub>
          </m:sub>
          <m:sup>
            <m:sSub>
              <m:sSubPr>
                <m:ctrlPr>
                  <w:rPr>
                    <w:rFonts w:ascii="Cambria Math" w:hAnsi="Cambria Math"/>
                    <w:color w:val="00B050"/>
                    <w:sz w:val="24"/>
                    <w:szCs w:val="24"/>
                  </w:rPr>
                </m:ctrlPr>
              </m:sSubPr>
              <m:e>
                <m:r>
                  <w:rPr>
                    <w:rFonts w:ascii="Cambria Math" w:hAnsi="Cambria Math"/>
                    <w:color w:val="00B050"/>
                    <w:sz w:val="24"/>
                    <w:szCs w:val="24"/>
                  </w:rPr>
                  <m:t>L</m:t>
                </m:r>
              </m:e>
              <m:sub>
                <m:r>
                  <w:rPr>
                    <w:rFonts w:ascii="Cambria Math" w:hAnsi="Cambria Math"/>
                    <w:color w:val="00B050"/>
                    <w:sz w:val="24"/>
                    <w:szCs w:val="24"/>
                  </w:rPr>
                  <m:t>max</m:t>
                </m:r>
              </m:sub>
            </m:sSub>
          </m:sup>
          <m:e>
            <m:sSub>
              <m:sSubPr>
                <m:ctrlPr>
                  <w:rPr>
                    <w:rFonts w:ascii="Cambria Math" w:hAnsi="Cambria Math"/>
                    <w:color w:val="00B050"/>
                    <w:sz w:val="24"/>
                    <w:szCs w:val="24"/>
                  </w:rPr>
                </m:ctrlPr>
              </m:sSubPr>
              <m:e>
                <m:r>
                  <m:rPr>
                    <m:sty m:val="p"/>
                  </m:rPr>
                  <w:rPr>
                    <w:rFonts w:ascii="Cambria Math" w:hAnsi="Cambria Math"/>
                    <w:color w:val="00B050"/>
                    <w:sz w:val="24"/>
                    <w:szCs w:val="24"/>
                  </w:rPr>
                  <m:t>P</m:t>
                </m:r>
              </m:e>
              <m:sub>
                <m:r>
                  <w:rPr>
                    <w:rFonts w:ascii="Cambria Math" w:hAnsi="Cambria Math"/>
                    <w:color w:val="00B050"/>
                    <w:sz w:val="24"/>
                    <w:szCs w:val="24"/>
                  </w:rPr>
                  <m:t>L</m:t>
                </m:r>
              </m:sub>
            </m:sSub>
          </m:e>
        </m:nary>
      </m:oMath>
      <w:r w:rsidRPr="001F4E93">
        <w:rPr>
          <w:color w:val="00B050"/>
          <w:sz w:val="24"/>
          <w:szCs w:val="24"/>
        </w:rPr>
        <w:t>…………… (7)</w:t>
      </w:r>
      <w:r>
        <w:rPr>
          <w:color w:val="00B050"/>
          <w:sz w:val="24"/>
          <w:szCs w:val="24"/>
        </w:rPr>
        <w:t>” in lines between 168 to 182 on our revised manuscript</w:t>
      </w:r>
    </w:p>
    <w:p w14:paraId="560427C5" w14:textId="77777777" w:rsidR="0002400A" w:rsidRPr="005B4557" w:rsidRDefault="00FD03B8" w:rsidP="00F77C3B">
      <w:pPr>
        <w:spacing w:line="360" w:lineRule="auto"/>
        <w:rPr>
          <w:color w:val="EE0000"/>
        </w:rPr>
      </w:pPr>
      <w:r w:rsidRPr="00A90C8A">
        <w:rPr>
          <w:b/>
          <w:bCs/>
          <w:sz w:val="24"/>
          <w:szCs w:val="24"/>
        </w:rPr>
        <w:t>Comment</w:t>
      </w:r>
      <w:r w:rsidR="00270B2B" w:rsidRPr="00A90C8A">
        <w:rPr>
          <w:b/>
          <w:bCs/>
          <w:sz w:val="24"/>
          <w:szCs w:val="24"/>
        </w:rPr>
        <w:t xml:space="preserve"> </w:t>
      </w:r>
      <w:r w:rsidR="006C4263">
        <w:rPr>
          <w:b/>
          <w:bCs/>
          <w:sz w:val="24"/>
          <w:szCs w:val="24"/>
        </w:rPr>
        <w:t>4</w:t>
      </w:r>
      <w:r w:rsidR="00270B2B" w:rsidRPr="00A90C8A">
        <w:rPr>
          <w:b/>
          <w:bCs/>
          <w:sz w:val="24"/>
          <w:szCs w:val="24"/>
        </w:rPr>
        <w:t>:</w:t>
      </w:r>
      <w:r w:rsidR="006C4263">
        <w:rPr>
          <w:sz w:val="24"/>
          <w:szCs w:val="24"/>
        </w:rPr>
        <w:t xml:space="preserve"> </w:t>
      </w:r>
      <w:r w:rsidR="0002400A" w:rsidRPr="005B4557">
        <w:rPr>
          <w:color w:val="EE0000"/>
        </w:rPr>
        <w:t>*line 120: "stock situation" should instead be "stock status" or "stock health"</w:t>
      </w:r>
    </w:p>
    <w:p w14:paraId="5197BF7A" w14:textId="341778C3" w:rsidR="00A65280" w:rsidRPr="00A90C8A" w:rsidRDefault="00173005" w:rsidP="00F77C3B">
      <w:pPr>
        <w:spacing w:line="360" w:lineRule="auto"/>
        <w:rPr>
          <w:sz w:val="24"/>
          <w:szCs w:val="24"/>
        </w:rPr>
      </w:pPr>
      <w:r w:rsidRPr="00A90C8A">
        <w:rPr>
          <w:b/>
          <w:bCs/>
          <w:sz w:val="24"/>
          <w:szCs w:val="24"/>
        </w:rPr>
        <w:t>Response:</w:t>
      </w:r>
      <w:r w:rsidRPr="00A90C8A">
        <w:rPr>
          <w:sz w:val="24"/>
          <w:szCs w:val="24"/>
        </w:rPr>
        <w:t xml:space="preserve"> </w:t>
      </w:r>
      <w:r w:rsidR="008C1733">
        <w:rPr>
          <w:color w:val="00B050"/>
          <w:sz w:val="24"/>
          <w:szCs w:val="24"/>
        </w:rPr>
        <w:t>Updated</w:t>
      </w:r>
      <w:r w:rsidR="001F4E93">
        <w:rPr>
          <w:color w:val="00B050"/>
          <w:sz w:val="24"/>
          <w:szCs w:val="24"/>
        </w:rPr>
        <w:t>.</w:t>
      </w:r>
    </w:p>
    <w:p w14:paraId="51EA0DD9" w14:textId="77777777" w:rsidR="0002400A" w:rsidRDefault="00FD03B8" w:rsidP="00F77C3B">
      <w:pPr>
        <w:spacing w:line="360" w:lineRule="auto"/>
        <w:rPr>
          <w:color w:val="FF0000"/>
          <w:sz w:val="24"/>
          <w:szCs w:val="24"/>
        </w:rPr>
      </w:pPr>
      <w:r w:rsidRPr="00A90C8A">
        <w:rPr>
          <w:b/>
          <w:bCs/>
          <w:sz w:val="24"/>
          <w:szCs w:val="24"/>
        </w:rPr>
        <w:t>Comment</w:t>
      </w:r>
      <w:r w:rsidR="00270B2B" w:rsidRPr="00A90C8A">
        <w:rPr>
          <w:b/>
          <w:bCs/>
          <w:sz w:val="24"/>
          <w:szCs w:val="24"/>
        </w:rPr>
        <w:t xml:space="preserve"> </w:t>
      </w:r>
      <w:r w:rsidR="006C4263">
        <w:rPr>
          <w:b/>
          <w:bCs/>
          <w:sz w:val="24"/>
          <w:szCs w:val="24"/>
        </w:rPr>
        <w:t>5</w:t>
      </w:r>
      <w:r w:rsidR="00270B2B" w:rsidRPr="00A90C8A">
        <w:rPr>
          <w:b/>
          <w:bCs/>
          <w:sz w:val="24"/>
          <w:szCs w:val="24"/>
        </w:rPr>
        <w:t>:</w:t>
      </w:r>
      <w:r w:rsidR="00270B2B" w:rsidRPr="00A90C8A">
        <w:rPr>
          <w:sz w:val="24"/>
          <w:szCs w:val="24"/>
        </w:rPr>
        <w:t xml:space="preserve"> </w:t>
      </w:r>
      <w:r w:rsidR="0002400A" w:rsidRPr="0002400A">
        <w:rPr>
          <w:color w:val="FF0000"/>
          <w:sz w:val="24"/>
          <w:szCs w:val="24"/>
        </w:rPr>
        <w:t>*</w:t>
      </w:r>
      <w:proofErr w:type="spellStart"/>
      <w:r w:rsidR="0002400A" w:rsidRPr="0002400A">
        <w:rPr>
          <w:color w:val="FF0000"/>
          <w:sz w:val="24"/>
          <w:szCs w:val="24"/>
        </w:rPr>
        <w:t>Sectoin</w:t>
      </w:r>
      <w:proofErr w:type="spellEnd"/>
      <w:r w:rsidR="0002400A" w:rsidRPr="0002400A">
        <w:rPr>
          <w:color w:val="FF0000"/>
          <w:sz w:val="24"/>
          <w:szCs w:val="24"/>
        </w:rPr>
        <w:t xml:space="preserve"> 2.2.2: It seems that the only way to get the Linf and Lmat values is to use the is called the daisy-</w:t>
      </w:r>
      <w:proofErr w:type="spellStart"/>
      <w:r w:rsidR="0002400A" w:rsidRPr="0002400A">
        <w:rPr>
          <w:color w:val="FF0000"/>
          <w:sz w:val="24"/>
          <w:szCs w:val="24"/>
        </w:rPr>
        <w:t>chaing</w:t>
      </w:r>
      <w:proofErr w:type="spellEnd"/>
      <w:r w:rsidR="0002400A" w:rsidRPr="0002400A">
        <w:rPr>
          <w:color w:val="FF0000"/>
          <w:sz w:val="24"/>
          <w:szCs w:val="24"/>
        </w:rPr>
        <w:t xml:space="preserve"> method of first getting Lmax, then Linf, then Lmat from Linf that came from Lmax (see Thorson et al. 2013; http://www.esajournals.org/doi/abs/10.1890/12-1855.1 for the warning against this type of approach). But more concerning is that it seems one cannot put in Linf and Lmat if you have them, or if you got them using something like the </w:t>
      </w:r>
      <w:proofErr w:type="spellStart"/>
      <w:r w:rsidR="0002400A" w:rsidRPr="0002400A">
        <w:rPr>
          <w:color w:val="FF0000"/>
          <w:sz w:val="24"/>
          <w:szCs w:val="24"/>
        </w:rPr>
        <w:t>FishLife</w:t>
      </w:r>
      <w:proofErr w:type="spellEnd"/>
      <w:r w:rsidR="0002400A" w:rsidRPr="0002400A">
        <w:rPr>
          <w:color w:val="FF0000"/>
          <w:sz w:val="24"/>
          <w:szCs w:val="24"/>
        </w:rPr>
        <w:t xml:space="preserve"> package in R, which pulls from databases such as </w:t>
      </w:r>
      <w:proofErr w:type="spellStart"/>
      <w:r w:rsidR="0002400A" w:rsidRPr="0002400A">
        <w:rPr>
          <w:color w:val="FF0000"/>
          <w:sz w:val="24"/>
          <w:szCs w:val="24"/>
        </w:rPr>
        <w:t>FishBase</w:t>
      </w:r>
      <w:proofErr w:type="spellEnd"/>
      <w:r w:rsidR="0002400A" w:rsidRPr="0002400A">
        <w:rPr>
          <w:color w:val="FF0000"/>
          <w:sz w:val="24"/>
          <w:szCs w:val="24"/>
        </w:rPr>
        <w:t>. Looking through the function documentation, I do not see an option for user input of these values. If that is true, that function needs to be updated to allow for user input. That feature would also allow for sensitivity exploration of those values.</w:t>
      </w:r>
    </w:p>
    <w:p w14:paraId="19C77659" w14:textId="475EB151" w:rsidR="009D0973" w:rsidRPr="00B71AC6" w:rsidRDefault="00FD03B8" w:rsidP="00F77C3B">
      <w:pPr>
        <w:spacing w:line="360" w:lineRule="auto"/>
        <w:rPr>
          <w:color w:val="00B050"/>
          <w:sz w:val="24"/>
          <w:szCs w:val="24"/>
        </w:rPr>
      </w:pPr>
      <w:r w:rsidRPr="00A90C8A">
        <w:rPr>
          <w:b/>
          <w:bCs/>
          <w:sz w:val="24"/>
          <w:szCs w:val="24"/>
        </w:rPr>
        <w:t>Response</w:t>
      </w:r>
      <w:r w:rsidR="00270B2B" w:rsidRPr="00A90C8A">
        <w:rPr>
          <w:b/>
          <w:bCs/>
          <w:sz w:val="24"/>
          <w:szCs w:val="24"/>
        </w:rPr>
        <w:t>:</w:t>
      </w:r>
      <w:r w:rsidR="00270B2B" w:rsidRPr="00A90C8A">
        <w:rPr>
          <w:sz w:val="24"/>
          <w:szCs w:val="24"/>
        </w:rPr>
        <w:t xml:space="preserve"> </w:t>
      </w:r>
      <w:r w:rsidR="009D0973" w:rsidRPr="009D0973">
        <w:rPr>
          <w:color w:val="00B050"/>
          <w:sz w:val="24"/>
          <w:szCs w:val="24"/>
        </w:rPr>
        <w:t xml:space="preserve">Updated. </w:t>
      </w:r>
      <w:r w:rsidR="009D0973" w:rsidRPr="00B71AC6">
        <w:rPr>
          <w:color w:val="00B050"/>
          <w:sz w:val="24"/>
          <w:szCs w:val="24"/>
        </w:rPr>
        <w:t xml:space="preserve">The current methodology represents a significant advancement over the previous approach, which relied on deterministic empirical equations and basic bootstrapping for length-based stock assessment of </w:t>
      </w:r>
      <w:proofErr w:type="spellStart"/>
      <w:r w:rsidR="009D0973" w:rsidRPr="00B71AC6">
        <w:rPr>
          <w:color w:val="00B050"/>
          <w:sz w:val="24"/>
          <w:szCs w:val="24"/>
        </w:rPr>
        <w:t>Sperata</w:t>
      </w:r>
      <w:proofErr w:type="spellEnd"/>
      <w:r w:rsidR="009D0973" w:rsidRPr="00B71AC6">
        <w:rPr>
          <w:color w:val="00B050"/>
          <w:sz w:val="24"/>
          <w:szCs w:val="24"/>
        </w:rPr>
        <w:t xml:space="preserve"> </w:t>
      </w:r>
      <w:proofErr w:type="spellStart"/>
      <w:r w:rsidR="009D0973" w:rsidRPr="00B71AC6">
        <w:rPr>
          <w:color w:val="00B050"/>
          <w:sz w:val="24"/>
          <w:szCs w:val="24"/>
        </w:rPr>
        <w:t>aor</w:t>
      </w:r>
      <w:proofErr w:type="spellEnd"/>
      <w:r w:rsidR="009D0973" w:rsidRPr="00B71AC6">
        <w:rPr>
          <w:color w:val="00B050"/>
          <w:sz w:val="24"/>
          <w:szCs w:val="24"/>
        </w:rPr>
        <w:t xml:space="preserve"> (e.g., L∞ = Lmax / 0.95; Pauly, 1984; Froese &amp; </w:t>
      </w:r>
      <w:proofErr w:type="spellStart"/>
      <w:r w:rsidR="009D0973" w:rsidRPr="00B71AC6">
        <w:rPr>
          <w:color w:val="00B050"/>
          <w:sz w:val="24"/>
          <w:szCs w:val="24"/>
        </w:rPr>
        <w:t>Binohlan</w:t>
      </w:r>
      <w:proofErr w:type="spellEnd"/>
      <w:r w:rsidR="009D0973" w:rsidRPr="00B71AC6">
        <w:rPr>
          <w:color w:val="00B050"/>
          <w:sz w:val="24"/>
          <w:szCs w:val="24"/>
        </w:rPr>
        <w:t xml:space="preserve">, 2000). The </w:t>
      </w:r>
      <w:r w:rsidR="004F006A">
        <w:rPr>
          <w:color w:val="00B050"/>
          <w:sz w:val="24"/>
          <w:szCs w:val="24"/>
        </w:rPr>
        <w:t>updated</w:t>
      </w:r>
      <w:r w:rsidR="009D0973" w:rsidRPr="004F006A">
        <w:rPr>
          <w:color w:val="00B050"/>
          <w:sz w:val="24"/>
          <w:szCs w:val="24"/>
        </w:rPr>
        <w:t xml:space="preserve"> </w:t>
      </w:r>
      <w:r w:rsidR="009D0973" w:rsidRPr="00B71AC6">
        <w:rPr>
          <w:color w:val="00B050"/>
          <w:sz w:val="24"/>
          <w:szCs w:val="24"/>
        </w:rPr>
        <w:t xml:space="preserve">FishPar function integrates Monte Carlo simulations and non-parametric bootstrapping to quantify uncertainty in both length parameters (Lmax, L∞, Lmat, Lopt) and length-based indicators (Pmat, Popt, Pmega), addressing reviewer feedback for enhanced sensitivity analysis. By allowing user-specified variability (e.g., </w:t>
      </w:r>
      <w:proofErr w:type="spellStart"/>
      <w:r w:rsidR="009D0973" w:rsidRPr="00B71AC6">
        <w:rPr>
          <w:color w:val="00B050"/>
          <w:sz w:val="24"/>
          <w:szCs w:val="24"/>
        </w:rPr>
        <w:t>Linf_sd</w:t>
      </w:r>
      <w:proofErr w:type="spellEnd"/>
      <w:r w:rsidR="009D0973" w:rsidRPr="00B71AC6">
        <w:rPr>
          <w:color w:val="00B050"/>
          <w:sz w:val="24"/>
          <w:szCs w:val="24"/>
        </w:rPr>
        <w:t xml:space="preserve">, </w:t>
      </w:r>
      <w:proofErr w:type="spellStart"/>
      <w:r w:rsidR="009D0973" w:rsidRPr="00B71AC6">
        <w:rPr>
          <w:color w:val="00B050"/>
          <w:sz w:val="24"/>
          <w:szCs w:val="24"/>
        </w:rPr>
        <w:t>Lmat_sd</w:t>
      </w:r>
      <w:proofErr w:type="spellEnd"/>
      <w:r w:rsidR="009D0973" w:rsidRPr="00B71AC6">
        <w:rPr>
          <w:color w:val="00B050"/>
          <w:sz w:val="24"/>
          <w:szCs w:val="24"/>
        </w:rPr>
        <w:t xml:space="preserve">) and implementing robust data validation (e.g., checks for sample size and distribution skewness), the methodology improves flexibility and reliability. Comprehensive visualizations (e.g., histograms, density plots) and Excel outputs enhance interpretability, while sensitivity analysis across bin sizes (1–5 cm) ensures robustness to data resolution. </w:t>
      </w:r>
      <w:r w:rsidR="004F006A">
        <w:rPr>
          <w:color w:val="00B050"/>
          <w:sz w:val="24"/>
          <w:szCs w:val="24"/>
        </w:rPr>
        <w:t xml:space="preserve">This was described in methodology, new and updated Section </w:t>
      </w:r>
      <w:r w:rsidR="002151BB">
        <w:rPr>
          <w:color w:val="00B050"/>
          <w:sz w:val="24"/>
          <w:szCs w:val="24"/>
        </w:rPr>
        <w:t xml:space="preserve">2.1.2 (Table 01), </w:t>
      </w:r>
      <w:r w:rsidR="004F006A">
        <w:rPr>
          <w:color w:val="00B050"/>
          <w:sz w:val="24"/>
          <w:szCs w:val="24"/>
        </w:rPr>
        <w:t>2.2.2, 2.2.3, 2.2.5, 2.2.8</w:t>
      </w:r>
      <w:r w:rsidR="002151BB">
        <w:rPr>
          <w:color w:val="00B050"/>
          <w:sz w:val="24"/>
          <w:szCs w:val="24"/>
        </w:rPr>
        <w:t>, 2.3.3.</w:t>
      </w:r>
    </w:p>
    <w:p w14:paraId="7B100025" w14:textId="09027CD8" w:rsidR="00270B2B" w:rsidRPr="00A90C8A" w:rsidRDefault="00FD03B8" w:rsidP="00F77C3B">
      <w:pPr>
        <w:spacing w:line="360" w:lineRule="auto"/>
        <w:rPr>
          <w:sz w:val="24"/>
          <w:szCs w:val="24"/>
        </w:rPr>
      </w:pPr>
      <w:r w:rsidRPr="00A90C8A">
        <w:rPr>
          <w:b/>
          <w:bCs/>
          <w:sz w:val="24"/>
          <w:szCs w:val="24"/>
        </w:rPr>
        <w:t>Comment</w:t>
      </w:r>
      <w:r w:rsidR="00270B2B" w:rsidRPr="00A90C8A">
        <w:rPr>
          <w:b/>
          <w:bCs/>
          <w:sz w:val="24"/>
          <w:szCs w:val="24"/>
        </w:rPr>
        <w:t xml:space="preserve"> </w:t>
      </w:r>
      <w:r w:rsidR="006C4263">
        <w:rPr>
          <w:b/>
          <w:bCs/>
          <w:sz w:val="24"/>
          <w:szCs w:val="24"/>
        </w:rPr>
        <w:t>6</w:t>
      </w:r>
      <w:r w:rsidR="00270B2B" w:rsidRPr="00A90C8A">
        <w:rPr>
          <w:b/>
          <w:bCs/>
          <w:sz w:val="24"/>
          <w:szCs w:val="24"/>
        </w:rPr>
        <w:t>:</w:t>
      </w:r>
      <w:r w:rsidR="00270B2B" w:rsidRPr="00A90C8A">
        <w:rPr>
          <w:sz w:val="24"/>
          <w:szCs w:val="24"/>
        </w:rPr>
        <w:t xml:space="preserve"> </w:t>
      </w:r>
      <w:r w:rsidR="0002400A" w:rsidRPr="0002400A">
        <w:rPr>
          <w:color w:val="FF0000"/>
          <w:sz w:val="24"/>
          <w:szCs w:val="24"/>
        </w:rPr>
        <w:t>*line 141: delete "straightforward"</w:t>
      </w:r>
    </w:p>
    <w:p w14:paraId="5C192267" w14:textId="158212B7" w:rsidR="00BA6CDC" w:rsidRDefault="00FD03B8" w:rsidP="00F77C3B">
      <w:pPr>
        <w:spacing w:line="360" w:lineRule="auto"/>
        <w:rPr>
          <w:sz w:val="24"/>
          <w:szCs w:val="24"/>
        </w:rPr>
      </w:pPr>
      <w:r w:rsidRPr="00A90C8A">
        <w:rPr>
          <w:b/>
          <w:bCs/>
          <w:sz w:val="24"/>
          <w:szCs w:val="24"/>
        </w:rPr>
        <w:t>Response</w:t>
      </w:r>
      <w:r w:rsidR="00270B2B" w:rsidRPr="00A90C8A">
        <w:rPr>
          <w:b/>
          <w:bCs/>
          <w:sz w:val="24"/>
          <w:szCs w:val="24"/>
        </w:rPr>
        <w:t>:</w:t>
      </w:r>
      <w:r w:rsidR="00270B2B" w:rsidRPr="00A90C8A">
        <w:rPr>
          <w:sz w:val="24"/>
          <w:szCs w:val="24"/>
        </w:rPr>
        <w:t xml:space="preserve"> </w:t>
      </w:r>
      <w:r w:rsidR="00F77C3B">
        <w:rPr>
          <w:color w:val="00B050"/>
          <w:sz w:val="24"/>
          <w:szCs w:val="24"/>
        </w:rPr>
        <w:t>Deleted</w:t>
      </w:r>
      <w:r w:rsidR="00B41E59">
        <w:rPr>
          <w:color w:val="00B050"/>
          <w:sz w:val="24"/>
          <w:szCs w:val="24"/>
        </w:rPr>
        <w:t>.</w:t>
      </w:r>
    </w:p>
    <w:p w14:paraId="179A3C50" w14:textId="10AEAE0D" w:rsidR="0002400A" w:rsidRPr="00A90C8A" w:rsidRDefault="0002400A" w:rsidP="00F77C3B">
      <w:pPr>
        <w:spacing w:line="360" w:lineRule="auto"/>
        <w:rPr>
          <w:sz w:val="24"/>
          <w:szCs w:val="24"/>
        </w:rPr>
      </w:pPr>
      <w:r w:rsidRPr="00A90C8A">
        <w:rPr>
          <w:b/>
          <w:bCs/>
          <w:sz w:val="24"/>
          <w:szCs w:val="24"/>
        </w:rPr>
        <w:t xml:space="preserve">Comment </w:t>
      </w:r>
      <w:r>
        <w:rPr>
          <w:b/>
          <w:bCs/>
          <w:sz w:val="24"/>
          <w:szCs w:val="24"/>
        </w:rPr>
        <w:t>7</w:t>
      </w:r>
      <w:r w:rsidRPr="00A90C8A">
        <w:rPr>
          <w:b/>
          <w:bCs/>
          <w:sz w:val="24"/>
          <w:szCs w:val="24"/>
        </w:rPr>
        <w:t>:</w:t>
      </w:r>
      <w:r w:rsidRPr="00A90C8A">
        <w:rPr>
          <w:sz w:val="24"/>
          <w:szCs w:val="24"/>
        </w:rPr>
        <w:t xml:space="preserve"> </w:t>
      </w:r>
      <w:r w:rsidRPr="0002400A">
        <w:rPr>
          <w:color w:val="FF0000"/>
          <w:sz w:val="24"/>
          <w:szCs w:val="24"/>
        </w:rPr>
        <w:t>*Section 2.2.5: You should add a reason why looking at bin structure may matter. This is an important, but often overlooked, consideration, that I think is a nice feature, but readers would benefit from knowing why that is the case.</w:t>
      </w:r>
    </w:p>
    <w:p w14:paraId="13088289" w14:textId="4F1146DE" w:rsidR="0002400A" w:rsidRPr="00A90C8A" w:rsidRDefault="0002400A" w:rsidP="00F77C3B">
      <w:pPr>
        <w:spacing w:line="360" w:lineRule="auto"/>
        <w:rPr>
          <w:sz w:val="24"/>
          <w:szCs w:val="24"/>
        </w:rPr>
      </w:pPr>
      <w:r w:rsidRPr="00A90C8A">
        <w:rPr>
          <w:b/>
          <w:bCs/>
          <w:sz w:val="24"/>
          <w:szCs w:val="24"/>
        </w:rPr>
        <w:t>Response:</w:t>
      </w:r>
      <w:r w:rsidRPr="00A90C8A">
        <w:rPr>
          <w:sz w:val="24"/>
          <w:szCs w:val="24"/>
        </w:rPr>
        <w:t xml:space="preserve"> </w:t>
      </w:r>
      <w:r w:rsidR="00AC1811">
        <w:rPr>
          <w:color w:val="00B050"/>
          <w:sz w:val="24"/>
          <w:szCs w:val="24"/>
        </w:rPr>
        <w:t>The previous 2.2.5 section now became 2.2.7 for updating the methodology part.</w:t>
      </w:r>
      <w:r w:rsidR="002151BB">
        <w:rPr>
          <w:color w:val="00B050"/>
          <w:sz w:val="24"/>
          <w:szCs w:val="24"/>
        </w:rPr>
        <w:t xml:space="preserve"> Reason</w:t>
      </w:r>
      <w:r w:rsidR="00AC1811">
        <w:rPr>
          <w:sz w:val="24"/>
          <w:szCs w:val="24"/>
        </w:rPr>
        <w:t xml:space="preserve"> </w:t>
      </w:r>
      <w:r w:rsidR="002151BB">
        <w:rPr>
          <w:color w:val="00B050"/>
          <w:sz w:val="24"/>
          <w:szCs w:val="24"/>
        </w:rPr>
        <w:t>a</w:t>
      </w:r>
      <w:r w:rsidR="00F77C3B">
        <w:rPr>
          <w:color w:val="00B050"/>
          <w:sz w:val="24"/>
          <w:szCs w:val="24"/>
        </w:rPr>
        <w:t>dded</w:t>
      </w:r>
      <w:r w:rsidR="00B41E59">
        <w:rPr>
          <w:color w:val="00B050"/>
          <w:sz w:val="24"/>
          <w:szCs w:val="24"/>
        </w:rPr>
        <w:t xml:space="preserve"> as “</w:t>
      </w:r>
      <w:r w:rsidR="00B41E59" w:rsidRPr="00B41E59">
        <w:rPr>
          <w:color w:val="00B050"/>
          <w:sz w:val="24"/>
          <w:szCs w:val="24"/>
        </w:rPr>
        <w:t>Examining bin structure is crucial because it influences the resolution of length-frequency distributions, thereby affecting the estimation of length parameters (e.g., Lmax, L∞, Lmat, and Lopt) and the accuracy of derived length-based indicators (LBIs), while potentially masking biological patterns or introducing bias if bins are too coarse or too fine</w:t>
      </w:r>
      <w:r w:rsidR="00B41E59">
        <w:rPr>
          <w:color w:val="00B050"/>
          <w:sz w:val="24"/>
          <w:szCs w:val="24"/>
        </w:rPr>
        <w:t>” in lines between 2</w:t>
      </w:r>
      <w:r w:rsidR="00AC1811">
        <w:rPr>
          <w:color w:val="00B050"/>
          <w:sz w:val="24"/>
          <w:szCs w:val="24"/>
        </w:rPr>
        <w:t>07</w:t>
      </w:r>
      <w:r w:rsidR="00B41E59">
        <w:rPr>
          <w:color w:val="00B050"/>
          <w:sz w:val="24"/>
          <w:szCs w:val="24"/>
        </w:rPr>
        <w:t xml:space="preserve"> to 2</w:t>
      </w:r>
      <w:r w:rsidR="00AC1811">
        <w:rPr>
          <w:color w:val="00B050"/>
          <w:sz w:val="24"/>
          <w:szCs w:val="24"/>
        </w:rPr>
        <w:t>11</w:t>
      </w:r>
      <w:r w:rsidR="00B41E59">
        <w:rPr>
          <w:color w:val="00B050"/>
          <w:sz w:val="24"/>
          <w:szCs w:val="24"/>
        </w:rPr>
        <w:t xml:space="preserve"> in our updated manuscript. </w:t>
      </w:r>
    </w:p>
    <w:p w14:paraId="48848175" w14:textId="7EE393F8" w:rsidR="0002400A" w:rsidRPr="00A90C8A" w:rsidRDefault="0002400A" w:rsidP="00F77C3B">
      <w:pPr>
        <w:spacing w:line="360" w:lineRule="auto"/>
        <w:rPr>
          <w:sz w:val="24"/>
          <w:szCs w:val="24"/>
        </w:rPr>
      </w:pPr>
      <w:r w:rsidRPr="00A90C8A">
        <w:rPr>
          <w:b/>
          <w:bCs/>
          <w:sz w:val="24"/>
          <w:szCs w:val="24"/>
        </w:rPr>
        <w:t xml:space="preserve">Comment </w:t>
      </w:r>
      <w:r>
        <w:rPr>
          <w:b/>
          <w:bCs/>
          <w:sz w:val="24"/>
          <w:szCs w:val="24"/>
        </w:rPr>
        <w:t>8</w:t>
      </w:r>
      <w:r w:rsidRPr="00A90C8A">
        <w:rPr>
          <w:b/>
          <w:bCs/>
          <w:sz w:val="24"/>
          <w:szCs w:val="24"/>
        </w:rPr>
        <w:t>:</w:t>
      </w:r>
      <w:r w:rsidRPr="00A90C8A">
        <w:rPr>
          <w:sz w:val="24"/>
          <w:szCs w:val="24"/>
        </w:rPr>
        <w:t xml:space="preserve"> </w:t>
      </w:r>
      <w:r w:rsidRPr="0002400A">
        <w:rPr>
          <w:color w:val="FF0000"/>
          <w:sz w:val="24"/>
          <w:szCs w:val="24"/>
        </w:rPr>
        <w:t>*Section 3.1 on installation should be in the Methods section, just above the description of the main functions.</w:t>
      </w:r>
    </w:p>
    <w:p w14:paraId="1E674E7B" w14:textId="29EDF3A9" w:rsidR="0002400A" w:rsidRPr="00A90C8A" w:rsidRDefault="0002400A" w:rsidP="00F77C3B">
      <w:pPr>
        <w:spacing w:line="360" w:lineRule="auto"/>
        <w:rPr>
          <w:sz w:val="24"/>
          <w:szCs w:val="24"/>
        </w:rPr>
      </w:pPr>
      <w:r w:rsidRPr="00A90C8A">
        <w:rPr>
          <w:b/>
          <w:bCs/>
          <w:sz w:val="24"/>
          <w:szCs w:val="24"/>
        </w:rPr>
        <w:t>Response:</w:t>
      </w:r>
      <w:r w:rsidRPr="00A90C8A">
        <w:rPr>
          <w:sz w:val="24"/>
          <w:szCs w:val="24"/>
        </w:rPr>
        <w:t xml:space="preserve"> </w:t>
      </w:r>
      <w:r w:rsidR="00F77C3B">
        <w:rPr>
          <w:color w:val="00B050"/>
          <w:sz w:val="24"/>
          <w:szCs w:val="24"/>
        </w:rPr>
        <w:t>Updated</w:t>
      </w:r>
      <w:r w:rsidR="00AC1811">
        <w:rPr>
          <w:color w:val="00B050"/>
          <w:sz w:val="24"/>
          <w:szCs w:val="24"/>
        </w:rPr>
        <w:t xml:space="preserve"> and became section 2.2.1 on our revised manuscript.</w:t>
      </w:r>
    </w:p>
    <w:p w14:paraId="7C3A8A83" w14:textId="40BFD6FA" w:rsidR="0002400A" w:rsidRPr="00A90C8A" w:rsidRDefault="0002400A" w:rsidP="00F77C3B">
      <w:pPr>
        <w:spacing w:line="360" w:lineRule="auto"/>
        <w:rPr>
          <w:sz w:val="24"/>
          <w:szCs w:val="24"/>
        </w:rPr>
      </w:pPr>
      <w:r w:rsidRPr="00A90C8A">
        <w:rPr>
          <w:b/>
          <w:bCs/>
          <w:sz w:val="24"/>
          <w:szCs w:val="24"/>
        </w:rPr>
        <w:t xml:space="preserve">Comment </w:t>
      </w:r>
      <w:r>
        <w:rPr>
          <w:b/>
          <w:bCs/>
          <w:sz w:val="24"/>
          <w:szCs w:val="24"/>
        </w:rPr>
        <w:t>9</w:t>
      </w:r>
      <w:r w:rsidRPr="00A90C8A">
        <w:rPr>
          <w:b/>
          <w:bCs/>
          <w:sz w:val="24"/>
          <w:szCs w:val="24"/>
        </w:rPr>
        <w:t>:</w:t>
      </w:r>
      <w:r w:rsidRPr="00A90C8A">
        <w:rPr>
          <w:sz w:val="24"/>
          <w:szCs w:val="24"/>
        </w:rPr>
        <w:t xml:space="preserve"> </w:t>
      </w:r>
      <w:r w:rsidRPr="0002400A">
        <w:rPr>
          <w:color w:val="FF0000"/>
          <w:sz w:val="24"/>
          <w:szCs w:val="24"/>
        </w:rPr>
        <w:t xml:space="preserve">*Section 3.2.1/Figure 3: Where does the red line come from? Is this just a density fit to the </w:t>
      </w:r>
      <w:proofErr w:type="spellStart"/>
      <w:r w:rsidRPr="0002400A">
        <w:rPr>
          <w:color w:val="FF0000"/>
          <w:sz w:val="24"/>
          <w:szCs w:val="24"/>
        </w:rPr>
        <w:t>historgram</w:t>
      </w:r>
      <w:proofErr w:type="spellEnd"/>
      <w:r w:rsidRPr="0002400A">
        <w:rPr>
          <w:color w:val="FF0000"/>
          <w:sz w:val="24"/>
          <w:szCs w:val="24"/>
        </w:rPr>
        <w:t xml:space="preserve">? It says it is a modelled frequency, but I did not see in the Methods which model was used to do this. Is it actually fitting data? It </w:t>
      </w:r>
      <w:proofErr w:type="gramStart"/>
      <w:r w:rsidRPr="0002400A">
        <w:rPr>
          <w:color w:val="FF0000"/>
          <w:sz w:val="24"/>
          <w:szCs w:val="24"/>
        </w:rPr>
        <w:t>say</w:t>
      </w:r>
      <w:proofErr w:type="gramEnd"/>
      <w:r w:rsidRPr="0002400A">
        <w:rPr>
          <w:color w:val="FF0000"/>
          <w:sz w:val="24"/>
          <w:szCs w:val="24"/>
        </w:rPr>
        <w:t xml:space="preserve"> the red line shows accuracy of the applied model (line 293), but what is the model? Please clarify what is happening.</w:t>
      </w:r>
    </w:p>
    <w:p w14:paraId="6CE0CEE1" w14:textId="73B2109E" w:rsidR="0002400A" w:rsidRPr="00B23DD8" w:rsidRDefault="0002400A" w:rsidP="00B23DD8">
      <w:r w:rsidRPr="00A90C8A">
        <w:rPr>
          <w:b/>
          <w:bCs/>
          <w:sz w:val="24"/>
          <w:szCs w:val="24"/>
        </w:rPr>
        <w:t>Response:</w:t>
      </w:r>
      <w:r w:rsidRPr="00A90C8A">
        <w:rPr>
          <w:sz w:val="24"/>
          <w:szCs w:val="24"/>
        </w:rPr>
        <w:t xml:space="preserve"> </w:t>
      </w:r>
      <w:r w:rsidR="002E6203">
        <w:rPr>
          <w:color w:val="00B050"/>
          <w:sz w:val="24"/>
          <w:szCs w:val="24"/>
        </w:rPr>
        <w:t>Updated as “</w:t>
      </w:r>
      <w:r w:rsidR="00AE3BCC" w:rsidRPr="00B23DD8">
        <w:rPr>
          <w:color w:val="00B050"/>
          <w:sz w:val="24"/>
          <w:szCs w:val="24"/>
        </w:rPr>
        <w:t>The red curve, representing the modeled frequency, aligns closely with the observed data, highlighting the accuracy of the applied smoothing approach. This curve is generated using a loess (locally estimated scatterplot smoothing) regression, to fit a smooth line to the histogram, enhancing visual interpretation of the length-frequency distribution</w:t>
      </w:r>
      <w:r w:rsidR="002E6203">
        <w:rPr>
          <w:color w:val="00B050"/>
          <w:sz w:val="24"/>
          <w:szCs w:val="24"/>
        </w:rPr>
        <w:t>”</w:t>
      </w:r>
      <w:r w:rsidR="00B23DD8">
        <w:rPr>
          <w:color w:val="00B050"/>
          <w:sz w:val="24"/>
          <w:szCs w:val="24"/>
        </w:rPr>
        <w:t xml:space="preserve"> in lines between </w:t>
      </w:r>
      <w:r w:rsidR="002151BB">
        <w:rPr>
          <w:color w:val="00B050"/>
          <w:sz w:val="24"/>
          <w:szCs w:val="24"/>
        </w:rPr>
        <w:t>312</w:t>
      </w:r>
      <w:r w:rsidR="00B23DD8">
        <w:rPr>
          <w:color w:val="00B050"/>
          <w:sz w:val="24"/>
          <w:szCs w:val="24"/>
        </w:rPr>
        <w:t xml:space="preserve"> to </w:t>
      </w:r>
      <w:r w:rsidR="002151BB">
        <w:rPr>
          <w:color w:val="00B050"/>
          <w:sz w:val="24"/>
          <w:szCs w:val="24"/>
        </w:rPr>
        <w:t>315</w:t>
      </w:r>
      <w:r w:rsidR="00B23DD8">
        <w:rPr>
          <w:color w:val="00B050"/>
          <w:sz w:val="24"/>
          <w:szCs w:val="24"/>
        </w:rPr>
        <w:t xml:space="preserve"> in our revised manuscript.</w:t>
      </w:r>
    </w:p>
    <w:p w14:paraId="076D815B" w14:textId="4E4D444F" w:rsidR="0002400A" w:rsidRPr="00A90C8A" w:rsidRDefault="0002400A" w:rsidP="00F77C3B">
      <w:pPr>
        <w:spacing w:line="360" w:lineRule="auto"/>
        <w:rPr>
          <w:sz w:val="24"/>
          <w:szCs w:val="24"/>
        </w:rPr>
      </w:pPr>
      <w:r w:rsidRPr="00A90C8A">
        <w:rPr>
          <w:b/>
          <w:bCs/>
          <w:sz w:val="24"/>
          <w:szCs w:val="24"/>
        </w:rPr>
        <w:t xml:space="preserve">Comment </w:t>
      </w:r>
      <w:r>
        <w:rPr>
          <w:b/>
          <w:bCs/>
          <w:sz w:val="24"/>
          <w:szCs w:val="24"/>
        </w:rPr>
        <w:t>10</w:t>
      </w:r>
      <w:r w:rsidRPr="00A90C8A">
        <w:rPr>
          <w:b/>
          <w:bCs/>
          <w:sz w:val="24"/>
          <w:szCs w:val="24"/>
        </w:rPr>
        <w:t>:</w:t>
      </w:r>
      <w:r w:rsidRPr="00A90C8A">
        <w:rPr>
          <w:sz w:val="24"/>
          <w:szCs w:val="24"/>
        </w:rPr>
        <w:t xml:space="preserve"> </w:t>
      </w:r>
      <w:r w:rsidRPr="0002400A">
        <w:rPr>
          <w:color w:val="FF0000"/>
          <w:sz w:val="24"/>
          <w:szCs w:val="24"/>
        </w:rPr>
        <w:t>*Figure 4/Table 2: I still do not understand why the bootstrapped confidence intervals at the high end are so close to the mean. I presume it means the distribution is skewed toward lower values in every metric, but why?</w:t>
      </w:r>
    </w:p>
    <w:p w14:paraId="7110EBA8" w14:textId="7E8CA0C5" w:rsidR="00777E26" w:rsidRPr="00777E26" w:rsidRDefault="0002400A" w:rsidP="00777E26">
      <w:pPr>
        <w:spacing w:line="360" w:lineRule="auto"/>
        <w:rPr>
          <w:sz w:val="24"/>
          <w:szCs w:val="24"/>
        </w:rPr>
      </w:pPr>
      <w:r w:rsidRPr="00A90C8A">
        <w:rPr>
          <w:b/>
          <w:bCs/>
          <w:sz w:val="24"/>
          <w:szCs w:val="24"/>
        </w:rPr>
        <w:t>Response:</w:t>
      </w:r>
      <w:r w:rsidRPr="00A90C8A">
        <w:rPr>
          <w:sz w:val="24"/>
          <w:szCs w:val="24"/>
        </w:rPr>
        <w:t xml:space="preserve"> </w:t>
      </w:r>
      <w:r w:rsidR="00777E26" w:rsidRPr="00777E26">
        <w:rPr>
          <w:color w:val="00B050"/>
          <w:sz w:val="24"/>
          <w:szCs w:val="24"/>
        </w:rPr>
        <w:t xml:space="preserve">We appreciate the reviewer’s observation that the bootstrapped 95% confidence intervals (CIs) in Figure 4/Table 2 were closer to the mean at the high end, indicating a skew toward lower values. This was likely due to the original FishPar function’s reliance on deterministic equations without Monte Carlo simulations, coupled with potential skewness in the length-frequency data for </w:t>
      </w:r>
      <w:proofErr w:type="spellStart"/>
      <w:r w:rsidR="00777E26" w:rsidRPr="00777E26">
        <w:rPr>
          <w:i/>
          <w:iCs/>
          <w:color w:val="00B050"/>
          <w:sz w:val="24"/>
          <w:szCs w:val="24"/>
        </w:rPr>
        <w:t>Sperata</w:t>
      </w:r>
      <w:proofErr w:type="spellEnd"/>
      <w:r w:rsidR="00777E26" w:rsidRPr="00777E26">
        <w:rPr>
          <w:i/>
          <w:iCs/>
          <w:color w:val="00B050"/>
          <w:sz w:val="24"/>
          <w:szCs w:val="24"/>
        </w:rPr>
        <w:t xml:space="preserve"> aor</w:t>
      </w:r>
      <w:r w:rsidR="00777E26" w:rsidRPr="00777E26">
        <w:rPr>
          <w:color w:val="00B050"/>
          <w:sz w:val="24"/>
          <w:szCs w:val="24"/>
        </w:rPr>
        <w:t xml:space="preserve">. The updated FishPar function addresses this by incorporating Monte Carlo simulations (1,000 samples) with calibrated variability (e.g., </w:t>
      </w:r>
      <w:proofErr w:type="spellStart"/>
      <w:r w:rsidR="00777E26" w:rsidRPr="00777E26">
        <w:rPr>
          <w:color w:val="00B050"/>
          <w:sz w:val="24"/>
          <w:szCs w:val="24"/>
        </w:rPr>
        <w:t>sd</w:t>
      </w:r>
      <w:proofErr w:type="spellEnd"/>
      <w:r w:rsidR="00777E26" w:rsidRPr="00777E26">
        <w:rPr>
          <w:color w:val="00B050"/>
          <w:sz w:val="24"/>
          <w:szCs w:val="24"/>
        </w:rPr>
        <w:t xml:space="preserve"> = 1 cm for Lmax, 0.015 for log-transformed Lmat and Lopt) and robust data validation (e.g., warning for &gt;80% frequency in a single length class). </w:t>
      </w:r>
    </w:p>
    <w:p w14:paraId="4A404E56" w14:textId="5F2100EF" w:rsidR="0002400A" w:rsidRPr="00A90C8A" w:rsidRDefault="0002400A" w:rsidP="00F77C3B">
      <w:pPr>
        <w:spacing w:line="360" w:lineRule="auto"/>
        <w:rPr>
          <w:sz w:val="24"/>
          <w:szCs w:val="24"/>
        </w:rPr>
      </w:pPr>
      <w:r w:rsidRPr="00A90C8A">
        <w:rPr>
          <w:b/>
          <w:bCs/>
          <w:sz w:val="24"/>
          <w:szCs w:val="24"/>
        </w:rPr>
        <w:t xml:space="preserve">Comment </w:t>
      </w:r>
      <w:r>
        <w:rPr>
          <w:b/>
          <w:bCs/>
          <w:sz w:val="24"/>
          <w:szCs w:val="24"/>
        </w:rPr>
        <w:t>11</w:t>
      </w:r>
      <w:r w:rsidRPr="00A90C8A">
        <w:rPr>
          <w:b/>
          <w:bCs/>
          <w:sz w:val="24"/>
          <w:szCs w:val="24"/>
        </w:rPr>
        <w:t>:</w:t>
      </w:r>
      <w:r w:rsidRPr="00A90C8A">
        <w:rPr>
          <w:sz w:val="24"/>
          <w:szCs w:val="24"/>
        </w:rPr>
        <w:t xml:space="preserve"> </w:t>
      </w:r>
      <w:r w:rsidRPr="0002400A">
        <w:rPr>
          <w:color w:val="FF0000"/>
          <w:sz w:val="24"/>
          <w:szCs w:val="24"/>
        </w:rPr>
        <w:t>*Figure 5: While there is no statistical difference in the metrics when using different length bins, there are some differences in the values that should be acknowledged. In general, it seems the message is to look across different bins.</w:t>
      </w:r>
    </w:p>
    <w:p w14:paraId="200A1123" w14:textId="69177CFA" w:rsidR="0002400A" w:rsidRPr="00177736" w:rsidRDefault="0002400A" w:rsidP="00177736">
      <w:pPr>
        <w:rPr>
          <w:color w:val="EE0000"/>
        </w:rPr>
      </w:pPr>
      <w:r w:rsidRPr="00A90C8A">
        <w:rPr>
          <w:b/>
          <w:bCs/>
          <w:sz w:val="24"/>
          <w:szCs w:val="24"/>
        </w:rPr>
        <w:t>Response:</w:t>
      </w:r>
      <w:r w:rsidRPr="00A90C8A">
        <w:rPr>
          <w:sz w:val="24"/>
          <w:szCs w:val="24"/>
        </w:rPr>
        <w:t xml:space="preserve"> </w:t>
      </w:r>
      <w:r w:rsidR="00177736" w:rsidRPr="00177736">
        <w:rPr>
          <w:color w:val="00B050"/>
          <w:sz w:val="24"/>
          <w:szCs w:val="24"/>
        </w:rPr>
        <w:t>Acknowledged as “</w:t>
      </w:r>
      <w:r w:rsidR="00CD0A6D" w:rsidRPr="00CD0A6D">
        <w:rPr>
          <w:color w:val="00B050"/>
          <w:sz w:val="24"/>
          <w:szCs w:val="24"/>
        </w:rPr>
        <w:t>Though no statistical difference in the metrics when using different length bins, there are some differences in the values were observed.</w:t>
      </w:r>
      <w:r w:rsidR="00CD0A6D">
        <w:rPr>
          <w:color w:val="00B050"/>
          <w:sz w:val="24"/>
          <w:szCs w:val="24"/>
        </w:rPr>
        <w:t>”</w:t>
      </w:r>
      <w:r w:rsidR="00177736" w:rsidRPr="00177736">
        <w:rPr>
          <w:color w:val="00B050"/>
          <w:sz w:val="24"/>
          <w:szCs w:val="24"/>
        </w:rPr>
        <w:t xml:space="preserve"> in lines between 3</w:t>
      </w:r>
      <w:r w:rsidR="002151BB">
        <w:rPr>
          <w:color w:val="00B050"/>
          <w:sz w:val="24"/>
          <w:szCs w:val="24"/>
        </w:rPr>
        <w:t>43</w:t>
      </w:r>
      <w:r w:rsidR="00177736" w:rsidRPr="00177736">
        <w:rPr>
          <w:color w:val="00B050"/>
          <w:sz w:val="24"/>
          <w:szCs w:val="24"/>
        </w:rPr>
        <w:t xml:space="preserve"> to </w:t>
      </w:r>
      <w:r w:rsidR="002151BB">
        <w:rPr>
          <w:color w:val="00B050"/>
          <w:sz w:val="24"/>
          <w:szCs w:val="24"/>
        </w:rPr>
        <w:t>344</w:t>
      </w:r>
      <w:r w:rsidR="00177736" w:rsidRPr="00177736">
        <w:rPr>
          <w:color w:val="00B050"/>
          <w:sz w:val="24"/>
          <w:szCs w:val="24"/>
        </w:rPr>
        <w:t xml:space="preserve"> in our revised manuscript.</w:t>
      </w:r>
    </w:p>
    <w:p w14:paraId="52D99A96" w14:textId="00F951D4" w:rsidR="0002400A" w:rsidRPr="00A90C8A" w:rsidRDefault="0002400A" w:rsidP="00F77C3B">
      <w:pPr>
        <w:spacing w:line="360" w:lineRule="auto"/>
        <w:rPr>
          <w:sz w:val="24"/>
          <w:szCs w:val="24"/>
        </w:rPr>
      </w:pPr>
      <w:r w:rsidRPr="00A90C8A">
        <w:rPr>
          <w:b/>
          <w:bCs/>
          <w:sz w:val="24"/>
          <w:szCs w:val="24"/>
        </w:rPr>
        <w:t xml:space="preserve">Comment </w:t>
      </w:r>
      <w:r>
        <w:rPr>
          <w:b/>
          <w:bCs/>
          <w:sz w:val="24"/>
          <w:szCs w:val="24"/>
        </w:rPr>
        <w:t>12</w:t>
      </w:r>
      <w:r w:rsidRPr="00A90C8A">
        <w:rPr>
          <w:b/>
          <w:bCs/>
          <w:sz w:val="24"/>
          <w:szCs w:val="24"/>
        </w:rPr>
        <w:t>:</w:t>
      </w:r>
      <w:r w:rsidRPr="00A90C8A">
        <w:rPr>
          <w:sz w:val="24"/>
          <w:szCs w:val="24"/>
        </w:rPr>
        <w:t xml:space="preserve"> </w:t>
      </w:r>
      <w:r w:rsidRPr="0002400A">
        <w:rPr>
          <w:color w:val="FF0000"/>
          <w:sz w:val="24"/>
          <w:szCs w:val="24"/>
        </w:rPr>
        <w:t>*Table 4: Should this say probability below the reference point? It current says at the reference point. And is this probability based on the bootstrapped values? If so, that should be made clear.</w:t>
      </w:r>
    </w:p>
    <w:p w14:paraId="010C4EA7" w14:textId="55843E7A" w:rsidR="0002400A" w:rsidRPr="0086159F" w:rsidRDefault="0002400A" w:rsidP="0086159F">
      <w:r w:rsidRPr="00A90C8A">
        <w:rPr>
          <w:b/>
          <w:bCs/>
          <w:sz w:val="24"/>
          <w:szCs w:val="24"/>
        </w:rPr>
        <w:t>Response:</w:t>
      </w:r>
      <w:r w:rsidRPr="00A90C8A">
        <w:rPr>
          <w:sz w:val="24"/>
          <w:szCs w:val="24"/>
        </w:rPr>
        <w:t xml:space="preserve"> </w:t>
      </w:r>
      <w:r w:rsidR="001431F7" w:rsidRPr="0086159F">
        <w:rPr>
          <w:color w:val="00B050"/>
          <w:sz w:val="24"/>
          <w:szCs w:val="24"/>
        </w:rPr>
        <w:t>Corrected as “</w:t>
      </w:r>
      <w:r w:rsidR="0086159F" w:rsidRPr="0086159F">
        <w:rPr>
          <w:color w:val="00B050"/>
          <w:sz w:val="24"/>
          <w:szCs w:val="24"/>
        </w:rPr>
        <w:t xml:space="preserve">However, the findings (Table 4) of this study indicates that there is a probability that the stock biomass of S. </w:t>
      </w:r>
      <w:proofErr w:type="spellStart"/>
      <w:r w:rsidR="0086159F" w:rsidRPr="0086159F">
        <w:rPr>
          <w:color w:val="00B050"/>
          <w:sz w:val="24"/>
          <w:szCs w:val="24"/>
        </w:rPr>
        <w:t>aor</w:t>
      </w:r>
      <w:proofErr w:type="spellEnd"/>
      <w:r w:rsidR="0086159F" w:rsidRPr="0086159F">
        <w:rPr>
          <w:color w:val="00B050"/>
          <w:sz w:val="24"/>
          <w:szCs w:val="24"/>
        </w:rPr>
        <w:t xml:space="preserve"> is below both the target (TSB40) and the limit biomass level (LSB25) across all bin sizes</w:t>
      </w:r>
      <w:r w:rsidR="001431F7" w:rsidRPr="0086159F">
        <w:rPr>
          <w:color w:val="00B050"/>
          <w:sz w:val="24"/>
          <w:szCs w:val="24"/>
        </w:rPr>
        <w:t>”</w:t>
      </w:r>
      <w:r w:rsidR="0086159F" w:rsidRPr="0086159F">
        <w:rPr>
          <w:color w:val="00B050"/>
          <w:sz w:val="24"/>
          <w:szCs w:val="24"/>
        </w:rPr>
        <w:t xml:space="preserve"> in lines between 397 to 399 on our revised manuscript.</w:t>
      </w:r>
      <w:r w:rsidR="0086159F">
        <w:rPr>
          <w:color w:val="00B050"/>
          <w:sz w:val="24"/>
          <w:szCs w:val="24"/>
        </w:rPr>
        <w:t xml:space="preserve"> The heading of the Table 4 has also been changed as “</w:t>
      </w:r>
      <w:r w:rsidR="0086159F" w:rsidRPr="0086159F">
        <w:rPr>
          <w:color w:val="00B050"/>
          <w:sz w:val="24"/>
          <w:szCs w:val="24"/>
        </w:rPr>
        <w:t>Probability (%) &lt; TSB40</w:t>
      </w:r>
      <w:r w:rsidR="0086159F">
        <w:rPr>
          <w:color w:val="00B050"/>
          <w:sz w:val="24"/>
          <w:szCs w:val="24"/>
        </w:rPr>
        <w:t xml:space="preserve"> and </w:t>
      </w:r>
      <w:r w:rsidR="0086159F" w:rsidRPr="0086159F">
        <w:rPr>
          <w:color w:val="00B050"/>
          <w:sz w:val="24"/>
          <w:szCs w:val="24"/>
        </w:rPr>
        <w:t>Probability (%) &lt; LSB25</w:t>
      </w:r>
      <w:r w:rsidR="0086159F">
        <w:rPr>
          <w:color w:val="00B050"/>
          <w:sz w:val="24"/>
          <w:szCs w:val="24"/>
        </w:rPr>
        <w:t>” for better understanding.</w:t>
      </w:r>
    </w:p>
    <w:p w14:paraId="50320E32" w14:textId="19AC3AB5" w:rsidR="0002400A" w:rsidRPr="00A90C8A" w:rsidRDefault="0002400A" w:rsidP="00F77C3B">
      <w:pPr>
        <w:spacing w:line="360" w:lineRule="auto"/>
        <w:rPr>
          <w:sz w:val="24"/>
          <w:szCs w:val="24"/>
        </w:rPr>
      </w:pPr>
      <w:r w:rsidRPr="00A90C8A">
        <w:rPr>
          <w:b/>
          <w:bCs/>
          <w:sz w:val="24"/>
          <w:szCs w:val="24"/>
        </w:rPr>
        <w:t xml:space="preserve">Comment </w:t>
      </w:r>
      <w:r>
        <w:rPr>
          <w:b/>
          <w:bCs/>
          <w:sz w:val="24"/>
          <w:szCs w:val="24"/>
        </w:rPr>
        <w:t>13</w:t>
      </w:r>
      <w:r w:rsidRPr="00A90C8A">
        <w:rPr>
          <w:b/>
          <w:bCs/>
          <w:sz w:val="24"/>
          <w:szCs w:val="24"/>
        </w:rPr>
        <w:t>:</w:t>
      </w:r>
      <w:r w:rsidRPr="00A90C8A">
        <w:rPr>
          <w:sz w:val="24"/>
          <w:szCs w:val="24"/>
        </w:rPr>
        <w:t xml:space="preserve"> </w:t>
      </w:r>
      <w:r w:rsidRPr="0002400A">
        <w:rPr>
          <w:color w:val="FF0000"/>
          <w:sz w:val="24"/>
          <w:szCs w:val="24"/>
        </w:rPr>
        <w:t>*What is going on with length bin 4? Why is it so different than the other bins?</w:t>
      </w:r>
    </w:p>
    <w:p w14:paraId="2B57707A" w14:textId="7464D403" w:rsidR="0002400A" w:rsidRDefault="0002400A" w:rsidP="00F77C3B">
      <w:pPr>
        <w:spacing w:line="360" w:lineRule="auto"/>
        <w:rPr>
          <w:sz w:val="24"/>
          <w:szCs w:val="24"/>
        </w:rPr>
      </w:pPr>
      <w:r w:rsidRPr="00A90C8A">
        <w:rPr>
          <w:b/>
          <w:bCs/>
          <w:sz w:val="24"/>
          <w:szCs w:val="24"/>
        </w:rPr>
        <w:t>Response:</w:t>
      </w:r>
      <w:r w:rsidRPr="00A90C8A">
        <w:rPr>
          <w:sz w:val="24"/>
          <w:szCs w:val="24"/>
        </w:rPr>
        <w:t xml:space="preserve"> </w:t>
      </w:r>
      <w:r w:rsidR="00BB3BE1" w:rsidRPr="00BB3BE1">
        <w:rPr>
          <w:color w:val="00B050"/>
          <w:sz w:val="24"/>
          <w:szCs w:val="24"/>
        </w:rPr>
        <w:t>Addressed through the upgradation of FishPar function</w:t>
      </w:r>
      <w:r w:rsidR="00BB3BE1">
        <w:rPr>
          <w:color w:val="00B050"/>
          <w:sz w:val="24"/>
          <w:szCs w:val="24"/>
        </w:rPr>
        <w:t>.</w:t>
      </w:r>
      <w:r w:rsidR="0086159F">
        <w:rPr>
          <w:color w:val="00B050"/>
          <w:sz w:val="24"/>
          <w:szCs w:val="24"/>
        </w:rPr>
        <w:t xml:space="preserve"> The upgraded FishPar function use nonparametric bootstrapping method to estimate Froese sustainability indicators which is more precise than the previous FishPar function. Now, the estimated (</w:t>
      </w:r>
      <w:r w:rsidR="0086159F" w:rsidRPr="0086159F">
        <w:rPr>
          <w:i/>
          <w:iCs/>
          <w:color w:val="00B050"/>
          <w:sz w:val="24"/>
          <w:szCs w:val="24"/>
        </w:rPr>
        <w:t xml:space="preserve">Pobj, Pmat, Popt, </w:t>
      </w:r>
      <w:proofErr w:type="spellStart"/>
      <w:r w:rsidR="0086159F" w:rsidRPr="0086159F">
        <w:rPr>
          <w:i/>
          <w:iCs/>
          <w:color w:val="00B050"/>
          <w:sz w:val="24"/>
          <w:szCs w:val="24"/>
        </w:rPr>
        <w:t>LM_ratio</w:t>
      </w:r>
      <w:proofErr w:type="spellEnd"/>
      <w:r w:rsidR="0086159F">
        <w:rPr>
          <w:color w:val="00B050"/>
          <w:sz w:val="24"/>
          <w:szCs w:val="24"/>
        </w:rPr>
        <w:t xml:space="preserve">) values provide same probability for evaluating stock status (TSB40 and LSB25) from the decision tree of Cope and Punt (2009). </w:t>
      </w:r>
    </w:p>
    <w:p w14:paraId="5482D53B" w14:textId="795F1D12" w:rsidR="0002400A" w:rsidRPr="00A90C8A" w:rsidRDefault="0002400A" w:rsidP="00F77C3B">
      <w:pPr>
        <w:spacing w:line="360" w:lineRule="auto"/>
        <w:rPr>
          <w:sz w:val="24"/>
          <w:szCs w:val="24"/>
        </w:rPr>
      </w:pPr>
      <w:r w:rsidRPr="00A90C8A">
        <w:rPr>
          <w:b/>
          <w:bCs/>
          <w:sz w:val="24"/>
          <w:szCs w:val="24"/>
        </w:rPr>
        <w:t xml:space="preserve">Comment </w:t>
      </w:r>
      <w:r>
        <w:rPr>
          <w:b/>
          <w:bCs/>
          <w:sz w:val="24"/>
          <w:szCs w:val="24"/>
        </w:rPr>
        <w:t>14</w:t>
      </w:r>
      <w:r w:rsidRPr="00A90C8A">
        <w:rPr>
          <w:b/>
          <w:bCs/>
          <w:sz w:val="24"/>
          <w:szCs w:val="24"/>
        </w:rPr>
        <w:t>:</w:t>
      </w:r>
      <w:r w:rsidRPr="00A90C8A">
        <w:rPr>
          <w:sz w:val="24"/>
          <w:szCs w:val="24"/>
        </w:rPr>
        <w:t xml:space="preserve"> </w:t>
      </w:r>
      <w:r w:rsidRPr="0002400A">
        <w:rPr>
          <w:color w:val="FF0000"/>
          <w:sz w:val="24"/>
          <w:szCs w:val="24"/>
        </w:rPr>
        <w:t>*Section 3.4: A little more detail on how this works is needed. For instance, each Pobj has an associated reference point. While the tool does it for you, it would be good here to report what reference point is being used to detect whether it is below the either of the two reference points.</w:t>
      </w:r>
    </w:p>
    <w:p w14:paraId="3A3B1B44" w14:textId="4BA32DD5" w:rsidR="0002400A" w:rsidRDefault="0002400A" w:rsidP="00F77C3B">
      <w:pPr>
        <w:spacing w:line="360" w:lineRule="auto"/>
        <w:rPr>
          <w:sz w:val="24"/>
          <w:szCs w:val="24"/>
        </w:rPr>
      </w:pPr>
      <w:r w:rsidRPr="00A90C8A">
        <w:rPr>
          <w:b/>
          <w:bCs/>
          <w:sz w:val="24"/>
          <w:szCs w:val="24"/>
        </w:rPr>
        <w:t>Response:</w:t>
      </w:r>
      <w:r w:rsidR="00B748ED">
        <w:rPr>
          <w:b/>
          <w:bCs/>
          <w:sz w:val="24"/>
          <w:szCs w:val="24"/>
        </w:rPr>
        <w:t xml:space="preserve"> </w:t>
      </w:r>
      <w:r w:rsidR="00837EE0">
        <w:rPr>
          <w:color w:val="00B050"/>
          <w:sz w:val="24"/>
          <w:szCs w:val="24"/>
        </w:rPr>
        <w:t>S</w:t>
      </w:r>
      <w:r w:rsidR="00B748ED">
        <w:rPr>
          <w:color w:val="00B050"/>
          <w:sz w:val="24"/>
          <w:szCs w:val="24"/>
        </w:rPr>
        <w:t xml:space="preserve">ection 3.4 </w:t>
      </w:r>
      <w:r w:rsidR="00837EE0">
        <w:rPr>
          <w:color w:val="00B050"/>
          <w:sz w:val="24"/>
          <w:szCs w:val="24"/>
        </w:rPr>
        <w:t>became</w:t>
      </w:r>
      <w:r w:rsidR="00B748ED">
        <w:rPr>
          <w:color w:val="00B050"/>
          <w:sz w:val="24"/>
          <w:szCs w:val="24"/>
        </w:rPr>
        <w:t xml:space="preserve"> section 3.3 on our revised manuscript as section 3.1</w:t>
      </w:r>
      <w:r w:rsidR="00837EE0">
        <w:rPr>
          <w:color w:val="00B050"/>
          <w:sz w:val="24"/>
          <w:szCs w:val="24"/>
        </w:rPr>
        <w:t xml:space="preserve"> is</w:t>
      </w:r>
      <w:r w:rsidR="00B748ED">
        <w:rPr>
          <w:color w:val="00B050"/>
          <w:sz w:val="24"/>
          <w:szCs w:val="24"/>
        </w:rPr>
        <w:t xml:space="preserve"> moved to the method section</w:t>
      </w:r>
      <w:r w:rsidR="00837EE0">
        <w:rPr>
          <w:color w:val="00B050"/>
          <w:sz w:val="24"/>
          <w:szCs w:val="24"/>
        </w:rPr>
        <w:t xml:space="preserve"> and in current 3.3 section is d</w:t>
      </w:r>
      <w:r w:rsidR="00796B31" w:rsidRPr="00796B31">
        <w:rPr>
          <w:color w:val="00B050"/>
          <w:sz w:val="24"/>
          <w:szCs w:val="24"/>
        </w:rPr>
        <w:t xml:space="preserve">etailed as “The FishSS function estimates two key reference points: </w:t>
      </w:r>
      <w:proofErr w:type="spellStart"/>
      <w:r w:rsidR="00796B31" w:rsidRPr="00796B31">
        <w:rPr>
          <w:color w:val="00B050"/>
          <w:sz w:val="24"/>
          <w:szCs w:val="24"/>
        </w:rPr>
        <w:t>i</w:t>
      </w:r>
      <w:proofErr w:type="spellEnd"/>
      <w:r w:rsidR="00796B31" w:rsidRPr="00796B31">
        <w:rPr>
          <w:color w:val="00B050"/>
          <w:sz w:val="24"/>
          <w:szCs w:val="24"/>
        </w:rPr>
        <w:t xml:space="preserve">) TSB40 (target spawning biomass at 40% of unfished levels) and ii) LSB25 (limit spawning biomass at 25% of unfished levels) based on input values including Pobj, Pobj, Popt, and </w:t>
      </w:r>
      <w:proofErr w:type="spellStart"/>
      <w:r w:rsidR="00796B31" w:rsidRPr="00796B31">
        <w:rPr>
          <w:color w:val="00B050"/>
          <w:sz w:val="24"/>
          <w:szCs w:val="24"/>
        </w:rPr>
        <w:t>LM_ratio</w:t>
      </w:r>
      <w:proofErr w:type="spellEnd"/>
      <w:r w:rsidR="00796B31" w:rsidRPr="00796B31">
        <w:rPr>
          <w:color w:val="00B050"/>
          <w:sz w:val="24"/>
          <w:szCs w:val="24"/>
        </w:rPr>
        <w:t xml:space="preserve">. Each Pobj is associated with these reference points, where the function automatically assesses whether the stock biomass falls below TSB40, exceeds TSB40 but remains above LSB25, or drops below LSB25. However, the findings (Table 4) suggest that there is a probability that the stock biomass is either below the target reference point (TSB40) or exceeds both the target (TSB40) and the limit biomass level (LSB25)” in lines between </w:t>
      </w:r>
      <w:r w:rsidR="00837EE0">
        <w:rPr>
          <w:color w:val="00B050"/>
          <w:sz w:val="24"/>
          <w:szCs w:val="24"/>
        </w:rPr>
        <w:t>393</w:t>
      </w:r>
      <w:r w:rsidR="00796B31" w:rsidRPr="00796B31">
        <w:rPr>
          <w:color w:val="00B050"/>
          <w:sz w:val="24"/>
          <w:szCs w:val="24"/>
        </w:rPr>
        <w:t xml:space="preserve"> to </w:t>
      </w:r>
      <w:r w:rsidR="00837EE0">
        <w:rPr>
          <w:color w:val="00B050"/>
          <w:sz w:val="24"/>
          <w:szCs w:val="24"/>
        </w:rPr>
        <w:t>399</w:t>
      </w:r>
      <w:r w:rsidR="00796B31" w:rsidRPr="00796B31">
        <w:rPr>
          <w:color w:val="00B050"/>
          <w:sz w:val="24"/>
          <w:szCs w:val="24"/>
        </w:rPr>
        <w:t xml:space="preserve"> in our revised manuscript.</w:t>
      </w:r>
    </w:p>
    <w:p w14:paraId="0891C996" w14:textId="07F0B494" w:rsidR="0002400A" w:rsidRPr="00A90C8A" w:rsidRDefault="0002400A" w:rsidP="00F77C3B">
      <w:pPr>
        <w:spacing w:line="360" w:lineRule="auto"/>
        <w:rPr>
          <w:sz w:val="24"/>
          <w:szCs w:val="24"/>
        </w:rPr>
      </w:pPr>
      <w:r w:rsidRPr="00A90C8A">
        <w:rPr>
          <w:b/>
          <w:bCs/>
          <w:sz w:val="24"/>
          <w:szCs w:val="24"/>
        </w:rPr>
        <w:t xml:space="preserve">Comment </w:t>
      </w:r>
      <w:r>
        <w:rPr>
          <w:b/>
          <w:bCs/>
          <w:sz w:val="24"/>
          <w:szCs w:val="24"/>
        </w:rPr>
        <w:t>15</w:t>
      </w:r>
      <w:r w:rsidRPr="00A90C8A">
        <w:rPr>
          <w:b/>
          <w:bCs/>
          <w:sz w:val="24"/>
          <w:szCs w:val="24"/>
        </w:rPr>
        <w:t>:</w:t>
      </w:r>
      <w:r w:rsidRPr="00A90C8A">
        <w:rPr>
          <w:sz w:val="24"/>
          <w:szCs w:val="24"/>
        </w:rPr>
        <w:t xml:space="preserve"> </w:t>
      </w:r>
      <w:r w:rsidRPr="0002400A">
        <w:rPr>
          <w:color w:val="FF0000"/>
          <w:sz w:val="24"/>
          <w:szCs w:val="24"/>
        </w:rPr>
        <w:t>*line 406: Do you mean to refer to Table 5?</w:t>
      </w:r>
    </w:p>
    <w:p w14:paraId="5BEF36B7" w14:textId="36F97566" w:rsidR="0002400A" w:rsidRDefault="0002400A" w:rsidP="00F77C3B">
      <w:pPr>
        <w:spacing w:line="360" w:lineRule="auto"/>
        <w:rPr>
          <w:sz w:val="24"/>
          <w:szCs w:val="24"/>
        </w:rPr>
      </w:pPr>
      <w:r w:rsidRPr="00A90C8A">
        <w:rPr>
          <w:b/>
          <w:bCs/>
          <w:sz w:val="24"/>
          <w:szCs w:val="24"/>
        </w:rPr>
        <w:t>Response:</w:t>
      </w:r>
      <w:r w:rsidRPr="00A90C8A">
        <w:rPr>
          <w:sz w:val="24"/>
          <w:szCs w:val="24"/>
        </w:rPr>
        <w:t xml:space="preserve"> </w:t>
      </w:r>
      <w:r w:rsidR="002E0864" w:rsidRPr="00BB3BE1">
        <w:rPr>
          <w:color w:val="00B050"/>
          <w:sz w:val="24"/>
          <w:szCs w:val="24"/>
        </w:rPr>
        <w:t>No, It’s about the FrequencyTable function.</w:t>
      </w:r>
      <w:r w:rsidR="00641309" w:rsidRPr="00BB3BE1">
        <w:rPr>
          <w:color w:val="00B050"/>
          <w:sz w:val="24"/>
          <w:szCs w:val="24"/>
        </w:rPr>
        <w:t xml:space="preserve"> And updated</w:t>
      </w:r>
      <w:r w:rsidR="00943361">
        <w:rPr>
          <w:color w:val="00B050"/>
          <w:sz w:val="24"/>
          <w:szCs w:val="24"/>
        </w:rPr>
        <w:t xml:space="preserve"> by removing the space between two words.</w:t>
      </w:r>
    </w:p>
    <w:p w14:paraId="0312DF4E" w14:textId="67AEE3CB" w:rsidR="0002400A" w:rsidRPr="00A90C8A" w:rsidRDefault="0002400A" w:rsidP="00F77C3B">
      <w:pPr>
        <w:spacing w:line="360" w:lineRule="auto"/>
        <w:rPr>
          <w:sz w:val="24"/>
          <w:szCs w:val="24"/>
        </w:rPr>
      </w:pPr>
      <w:r w:rsidRPr="00A90C8A">
        <w:rPr>
          <w:b/>
          <w:bCs/>
          <w:sz w:val="24"/>
          <w:szCs w:val="24"/>
        </w:rPr>
        <w:t xml:space="preserve">Comment </w:t>
      </w:r>
      <w:r>
        <w:rPr>
          <w:b/>
          <w:bCs/>
          <w:sz w:val="24"/>
          <w:szCs w:val="24"/>
        </w:rPr>
        <w:t>16</w:t>
      </w:r>
      <w:r w:rsidRPr="00A90C8A">
        <w:rPr>
          <w:b/>
          <w:bCs/>
          <w:sz w:val="24"/>
          <w:szCs w:val="24"/>
        </w:rPr>
        <w:t>:</w:t>
      </w:r>
      <w:r w:rsidRPr="00A90C8A">
        <w:rPr>
          <w:sz w:val="24"/>
          <w:szCs w:val="24"/>
        </w:rPr>
        <w:t xml:space="preserve"> </w:t>
      </w:r>
      <w:r w:rsidRPr="0002400A">
        <w:rPr>
          <w:color w:val="FF0000"/>
          <w:sz w:val="24"/>
          <w:szCs w:val="24"/>
        </w:rPr>
        <w:t>*Section 4.2.3 header: The header should have something to do with the species. The current header is not informative.</w:t>
      </w:r>
    </w:p>
    <w:p w14:paraId="060D5821" w14:textId="671DE011" w:rsidR="0002400A" w:rsidRDefault="0002400A" w:rsidP="00F77C3B">
      <w:pPr>
        <w:spacing w:line="360" w:lineRule="auto"/>
        <w:rPr>
          <w:sz w:val="24"/>
          <w:szCs w:val="24"/>
        </w:rPr>
      </w:pPr>
      <w:r w:rsidRPr="00A90C8A">
        <w:rPr>
          <w:b/>
          <w:bCs/>
          <w:sz w:val="24"/>
          <w:szCs w:val="24"/>
        </w:rPr>
        <w:t>Response:</w:t>
      </w:r>
      <w:r w:rsidRPr="00A90C8A">
        <w:rPr>
          <w:sz w:val="24"/>
          <w:szCs w:val="24"/>
        </w:rPr>
        <w:t xml:space="preserve"> </w:t>
      </w:r>
      <w:r w:rsidR="002E0864" w:rsidRPr="00BB3BE1">
        <w:rPr>
          <w:color w:val="00B050"/>
          <w:sz w:val="24"/>
          <w:szCs w:val="24"/>
        </w:rPr>
        <w:t xml:space="preserve">Section 4.2.3 header is updated as “Froese sustainability indicators (LBIs) of S. </w:t>
      </w:r>
      <w:proofErr w:type="spellStart"/>
      <w:r w:rsidR="002E0864" w:rsidRPr="00BB3BE1">
        <w:rPr>
          <w:color w:val="00B050"/>
          <w:sz w:val="24"/>
          <w:szCs w:val="24"/>
        </w:rPr>
        <w:t>aor</w:t>
      </w:r>
      <w:proofErr w:type="spellEnd"/>
      <w:r w:rsidR="002E0864" w:rsidRPr="00BB3BE1">
        <w:rPr>
          <w:color w:val="00B050"/>
          <w:sz w:val="24"/>
          <w:szCs w:val="24"/>
        </w:rPr>
        <w:t>”</w:t>
      </w:r>
    </w:p>
    <w:p w14:paraId="2ABFB547" w14:textId="77777777" w:rsidR="0002400A" w:rsidRDefault="0002400A" w:rsidP="00F77C3B">
      <w:pPr>
        <w:spacing w:line="360" w:lineRule="auto"/>
        <w:rPr>
          <w:sz w:val="24"/>
          <w:szCs w:val="24"/>
        </w:rPr>
      </w:pPr>
    </w:p>
    <w:sectPr w:rsidR="0002400A" w:rsidSect="00AC3EB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Frank Ruhl Libre">
    <w:panose1 w:val="00000000000000000000"/>
    <w:charset w:val="00"/>
    <w:family w:val="auto"/>
    <w:pitch w:val="variable"/>
    <w:sig w:usb0="A00008EF" w:usb1="4001205B" w:usb2="00000008" w:usb3="00000000" w:csb0="000000B3"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278F"/>
    <w:multiLevelType w:val="hybridMultilevel"/>
    <w:tmpl w:val="954045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20768"/>
    <w:multiLevelType w:val="multilevel"/>
    <w:tmpl w:val="B6C428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20758F3"/>
    <w:multiLevelType w:val="hybridMultilevel"/>
    <w:tmpl w:val="CE927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5B0657"/>
    <w:multiLevelType w:val="multilevel"/>
    <w:tmpl w:val="AAC28550"/>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1"/>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8B35E50"/>
    <w:multiLevelType w:val="hybridMultilevel"/>
    <w:tmpl w:val="3F68083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F345011"/>
    <w:multiLevelType w:val="hybridMultilevel"/>
    <w:tmpl w:val="3F680834"/>
    <w:lvl w:ilvl="0" w:tplc="23421D9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A8093B"/>
    <w:multiLevelType w:val="hybridMultilevel"/>
    <w:tmpl w:val="3A309844"/>
    <w:lvl w:ilvl="0" w:tplc="04090013">
      <w:start w:val="1"/>
      <w:numFmt w:val="upperRoman"/>
      <w:lvlText w:val="%1."/>
      <w:lvlJc w:val="right"/>
      <w:pPr>
        <w:ind w:left="1512" w:hanging="360"/>
      </w:pPr>
      <w:rPr>
        <w:rFonts w:hint="default"/>
        <w:b/>
        <w:bCs/>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7" w15:restartNumberingAfterBreak="0">
    <w:nsid w:val="61F1329C"/>
    <w:multiLevelType w:val="hybridMultilevel"/>
    <w:tmpl w:val="7C00891E"/>
    <w:lvl w:ilvl="0" w:tplc="687A8F78">
      <w:start w:val="2"/>
      <w:numFmt w:val="decimal"/>
      <w:pStyle w:val="Caption"/>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1491032">
    <w:abstractNumId w:val="3"/>
  </w:num>
  <w:num w:numId="2" w16cid:durableId="1679192182">
    <w:abstractNumId w:val="1"/>
  </w:num>
  <w:num w:numId="3" w16cid:durableId="1305162328">
    <w:abstractNumId w:val="3"/>
  </w:num>
  <w:num w:numId="4" w16cid:durableId="283276221">
    <w:abstractNumId w:val="3"/>
  </w:num>
  <w:num w:numId="5" w16cid:durableId="1530142242">
    <w:abstractNumId w:val="3"/>
  </w:num>
  <w:num w:numId="6" w16cid:durableId="1332758820">
    <w:abstractNumId w:val="3"/>
  </w:num>
  <w:num w:numId="7" w16cid:durableId="1148940594">
    <w:abstractNumId w:val="3"/>
  </w:num>
  <w:num w:numId="8" w16cid:durableId="1634483103">
    <w:abstractNumId w:val="7"/>
  </w:num>
  <w:num w:numId="9" w16cid:durableId="399791995">
    <w:abstractNumId w:val="5"/>
  </w:num>
  <w:num w:numId="10" w16cid:durableId="1553884658">
    <w:abstractNumId w:val="4"/>
  </w:num>
  <w:num w:numId="11" w16cid:durableId="373237291">
    <w:abstractNumId w:val="2"/>
  </w:num>
  <w:num w:numId="12" w16cid:durableId="407461410">
    <w:abstractNumId w:val="0"/>
  </w:num>
  <w:num w:numId="13" w16cid:durableId="20734564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72F"/>
    <w:rsid w:val="00002922"/>
    <w:rsid w:val="00010DC1"/>
    <w:rsid w:val="0002400A"/>
    <w:rsid w:val="00043007"/>
    <w:rsid w:val="0004302A"/>
    <w:rsid w:val="00043DCE"/>
    <w:rsid w:val="000B3C18"/>
    <w:rsid w:val="000B5626"/>
    <w:rsid w:val="000C18AF"/>
    <w:rsid w:val="000C4097"/>
    <w:rsid w:val="001431F7"/>
    <w:rsid w:val="00173005"/>
    <w:rsid w:val="0017598F"/>
    <w:rsid w:val="00177736"/>
    <w:rsid w:val="00185FCD"/>
    <w:rsid w:val="001A74A4"/>
    <w:rsid w:val="001D046D"/>
    <w:rsid w:val="001F4E93"/>
    <w:rsid w:val="002151BB"/>
    <w:rsid w:val="00242D73"/>
    <w:rsid w:val="002478DF"/>
    <w:rsid w:val="00270B2B"/>
    <w:rsid w:val="00271310"/>
    <w:rsid w:val="00277DA2"/>
    <w:rsid w:val="002811FB"/>
    <w:rsid w:val="00284E49"/>
    <w:rsid w:val="0029528B"/>
    <w:rsid w:val="002A050A"/>
    <w:rsid w:val="002A6655"/>
    <w:rsid w:val="002B0CA7"/>
    <w:rsid w:val="002C2CBB"/>
    <w:rsid w:val="002E0864"/>
    <w:rsid w:val="002E6203"/>
    <w:rsid w:val="002F2688"/>
    <w:rsid w:val="00303010"/>
    <w:rsid w:val="003149AD"/>
    <w:rsid w:val="00321C37"/>
    <w:rsid w:val="0032450A"/>
    <w:rsid w:val="00334093"/>
    <w:rsid w:val="00347AAB"/>
    <w:rsid w:val="003835A0"/>
    <w:rsid w:val="00387704"/>
    <w:rsid w:val="00392677"/>
    <w:rsid w:val="003966B9"/>
    <w:rsid w:val="003C7F22"/>
    <w:rsid w:val="00410365"/>
    <w:rsid w:val="004111FF"/>
    <w:rsid w:val="00440EB8"/>
    <w:rsid w:val="00477D03"/>
    <w:rsid w:val="004962A3"/>
    <w:rsid w:val="0049672F"/>
    <w:rsid w:val="004A0CF7"/>
    <w:rsid w:val="004B0479"/>
    <w:rsid w:val="004B6BED"/>
    <w:rsid w:val="004C664F"/>
    <w:rsid w:val="004E4C56"/>
    <w:rsid w:val="004F006A"/>
    <w:rsid w:val="00524653"/>
    <w:rsid w:val="005427C4"/>
    <w:rsid w:val="00553B4C"/>
    <w:rsid w:val="005611F5"/>
    <w:rsid w:val="00592A1A"/>
    <w:rsid w:val="00593E87"/>
    <w:rsid w:val="005A3B78"/>
    <w:rsid w:val="005D52D8"/>
    <w:rsid w:val="005F2D7E"/>
    <w:rsid w:val="00624D83"/>
    <w:rsid w:val="006265EB"/>
    <w:rsid w:val="006278A9"/>
    <w:rsid w:val="00634ACD"/>
    <w:rsid w:val="00636E02"/>
    <w:rsid w:val="00641309"/>
    <w:rsid w:val="0064136F"/>
    <w:rsid w:val="0065133A"/>
    <w:rsid w:val="00661C1D"/>
    <w:rsid w:val="00692851"/>
    <w:rsid w:val="00692CF4"/>
    <w:rsid w:val="00697332"/>
    <w:rsid w:val="006A7067"/>
    <w:rsid w:val="006C3127"/>
    <w:rsid w:val="006C38BC"/>
    <w:rsid w:val="006C4263"/>
    <w:rsid w:val="006D0E2D"/>
    <w:rsid w:val="006D1304"/>
    <w:rsid w:val="006D315F"/>
    <w:rsid w:val="006E0E56"/>
    <w:rsid w:val="0070660A"/>
    <w:rsid w:val="007075E2"/>
    <w:rsid w:val="007258C9"/>
    <w:rsid w:val="00777E26"/>
    <w:rsid w:val="007800FD"/>
    <w:rsid w:val="00796B31"/>
    <w:rsid w:val="007D020F"/>
    <w:rsid w:val="0081312A"/>
    <w:rsid w:val="0081488E"/>
    <w:rsid w:val="00837EE0"/>
    <w:rsid w:val="0086159F"/>
    <w:rsid w:val="00862EE4"/>
    <w:rsid w:val="0089030D"/>
    <w:rsid w:val="00896E8D"/>
    <w:rsid w:val="008A2386"/>
    <w:rsid w:val="008B6B29"/>
    <w:rsid w:val="008C1733"/>
    <w:rsid w:val="008D0B2D"/>
    <w:rsid w:val="008D13DA"/>
    <w:rsid w:val="00905E52"/>
    <w:rsid w:val="00943361"/>
    <w:rsid w:val="009656C7"/>
    <w:rsid w:val="009D0973"/>
    <w:rsid w:val="00A152A2"/>
    <w:rsid w:val="00A51602"/>
    <w:rsid w:val="00A556C0"/>
    <w:rsid w:val="00A65280"/>
    <w:rsid w:val="00A90C8A"/>
    <w:rsid w:val="00AA05F7"/>
    <w:rsid w:val="00AC1811"/>
    <w:rsid w:val="00AC3EB2"/>
    <w:rsid w:val="00AE3BCC"/>
    <w:rsid w:val="00AE404C"/>
    <w:rsid w:val="00AE674E"/>
    <w:rsid w:val="00B03A8A"/>
    <w:rsid w:val="00B14AC3"/>
    <w:rsid w:val="00B23DD8"/>
    <w:rsid w:val="00B359F2"/>
    <w:rsid w:val="00B41E59"/>
    <w:rsid w:val="00B47FA1"/>
    <w:rsid w:val="00B57E06"/>
    <w:rsid w:val="00B67C25"/>
    <w:rsid w:val="00B71599"/>
    <w:rsid w:val="00B73088"/>
    <w:rsid w:val="00B748ED"/>
    <w:rsid w:val="00B81927"/>
    <w:rsid w:val="00B81E03"/>
    <w:rsid w:val="00BA1095"/>
    <w:rsid w:val="00BA6CDC"/>
    <w:rsid w:val="00BB391C"/>
    <w:rsid w:val="00BB3BE1"/>
    <w:rsid w:val="00BC3A35"/>
    <w:rsid w:val="00BD588C"/>
    <w:rsid w:val="00BE1E76"/>
    <w:rsid w:val="00BE6286"/>
    <w:rsid w:val="00C20A11"/>
    <w:rsid w:val="00C35295"/>
    <w:rsid w:val="00C52831"/>
    <w:rsid w:val="00C631DC"/>
    <w:rsid w:val="00C8051C"/>
    <w:rsid w:val="00C82011"/>
    <w:rsid w:val="00C85104"/>
    <w:rsid w:val="00C93058"/>
    <w:rsid w:val="00C94856"/>
    <w:rsid w:val="00CA44C6"/>
    <w:rsid w:val="00CB24E7"/>
    <w:rsid w:val="00CD0A6D"/>
    <w:rsid w:val="00CF1F7C"/>
    <w:rsid w:val="00D007DA"/>
    <w:rsid w:val="00D14A55"/>
    <w:rsid w:val="00D2012A"/>
    <w:rsid w:val="00D21F30"/>
    <w:rsid w:val="00D43E23"/>
    <w:rsid w:val="00D6711A"/>
    <w:rsid w:val="00D70B11"/>
    <w:rsid w:val="00D944CE"/>
    <w:rsid w:val="00DC6D5E"/>
    <w:rsid w:val="00DD20D3"/>
    <w:rsid w:val="00DE7756"/>
    <w:rsid w:val="00DF1001"/>
    <w:rsid w:val="00E02059"/>
    <w:rsid w:val="00E253CD"/>
    <w:rsid w:val="00E50B70"/>
    <w:rsid w:val="00E61C7F"/>
    <w:rsid w:val="00E62CCB"/>
    <w:rsid w:val="00E6566A"/>
    <w:rsid w:val="00EB4AE9"/>
    <w:rsid w:val="00EC579E"/>
    <w:rsid w:val="00EE11B9"/>
    <w:rsid w:val="00F02EB4"/>
    <w:rsid w:val="00F06855"/>
    <w:rsid w:val="00F109F5"/>
    <w:rsid w:val="00F64105"/>
    <w:rsid w:val="00F729E4"/>
    <w:rsid w:val="00F74A7A"/>
    <w:rsid w:val="00F763CB"/>
    <w:rsid w:val="00F77C3B"/>
    <w:rsid w:val="00FB2591"/>
    <w:rsid w:val="00FD03B8"/>
    <w:rsid w:val="00FF44B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3424E"/>
  <w15:chartTrackingRefBased/>
  <w15:docId w15:val="{24B356BE-B8FA-43EB-A790-5C314723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20"/>
        <w:ind w:left="576" w:hanging="5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88C"/>
    <w:pPr>
      <w:spacing w:after="200" w:line="276" w:lineRule="auto"/>
      <w:ind w:left="0" w:firstLine="0"/>
    </w:pPr>
    <w:rPr>
      <w:rFonts w:ascii="Times New Roman" w:hAnsi="Times New Roman" w:cs="Times New Roman"/>
      <w:kern w:val="0"/>
      <w14:ligatures w14:val="none"/>
    </w:rPr>
  </w:style>
  <w:style w:type="paragraph" w:styleId="Heading10">
    <w:name w:val="heading 1"/>
    <w:basedOn w:val="Heading3"/>
    <w:next w:val="Normal"/>
    <w:link w:val="Heading1Char"/>
    <w:uiPriority w:val="9"/>
    <w:qFormat/>
    <w:rsid w:val="0032450A"/>
    <w:pPr>
      <w:outlineLvl w:val="0"/>
    </w:pPr>
    <w:rPr>
      <w:sz w:val="24"/>
      <w:szCs w:val="24"/>
    </w:rPr>
  </w:style>
  <w:style w:type="paragraph" w:styleId="Heading20">
    <w:name w:val="heading 2"/>
    <w:basedOn w:val="Normal"/>
    <w:next w:val="Normal"/>
    <w:link w:val="Heading2Char"/>
    <w:uiPriority w:val="9"/>
    <w:unhideWhenUsed/>
    <w:qFormat/>
    <w:rsid w:val="00B67C25"/>
    <w:pPr>
      <w:pBdr>
        <w:bottom w:val="single" w:sz="4" w:space="1" w:color="auto"/>
      </w:pBdr>
      <w:shd w:val="clear" w:color="auto" w:fill="D9F2EC" w:themeFill="accent4" w:themeFillTint="33"/>
      <w:spacing w:after="0"/>
      <w:outlineLvl w:val="1"/>
    </w:pPr>
    <w:rPr>
      <w:b/>
      <w:bCs/>
    </w:rPr>
  </w:style>
  <w:style w:type="paragraph" w:styleId="Heading3">
    <w:name w:val="heading 3"/>
    <w:basedOn w:val="Normal"/>
    <w:next w:val="Normal"/>
    <w:link w:val="Heading3Char"/>
    <w:uiPriority w:val="9"/>
    <w:unhideWhenUsed/>
    <w:qFormat/>
    <w:rsid w:val="00692CF4"/>
    <w:pPr>
      <w:shd w:val="clear" w:color="auto" w:fill="8ED9C7" w:themeFill="accent4" w:themeFillTint="99"/>
      <w:spacing w:after="160"/>
      <w:jc w:val="center"/>
      <w:outlineLvl w:val="2"/>
    </w:pPr>
    <w:rPr>
      <w:b/>
      <w:bCs/>
    </w:rPr>
  </w:style>
  <w:style w:type="paragraph" w:styleId="Heading4">
    <w:name w:val="heading 4"/>
    <w:basedOn w:val="Normal"/>
    <w:next w:val="Normal"/>
    <w:link w:val="Heading4Char"/>
    <w:uiPriority w:val="9"/>
    <w:unhideWhenUsed/>
    <w:qFormat/>
    <w:rsid w:val="00CF1F7C"/>
    <w:pPr>
      <w:jc w:val="center"/>
      <w:outlineLvl w:val="3"/>
    </w:pPr>
  </w:style>
  <w:style w:type="paragraph" w:styleId="Heading5">
    <w:name w:val="heading 5"/>
    <w:basedOn w:val="Heading3"/>
    <w:next w:val="Heading10"/>
    <w:link w:val="Heading5Char"/>
    <w:autoRedefine/>
    <w:uiPriority w:val="9"/>
    <w:unhideWhenUsed/>
    <w:qFormat/>
    <w:rsid w:val="00AA05F7"/>
    <w:pPr>
      <w:outlineLvl w:val="4"/>
    </w:pPr>
  </w:style>
  <w:style w:type="paragraph" w:styleId="Heading6">
    <w:name w:val="heading 6"/>
    <w:basedOn w:val="Heading5"/>
    <w:next w:val="Normal"/>
    <w:link w:val="Heading6Char"/>
    <w:uiPriority w:val="9"/>
    <w:unhideWhenUsed/>
    <w:qFormat/>
    <w:rsid w:val="00AA05F7"/>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F74A7A"/>
    <w:pPr>
      <w:spacing w:before="160" w:after="100"/>
      <w:ind w:firstLine="432"/>
    </w:pPr>
    <w:rPr>
      <w:b/>
      <w:color w:val="000000" w:themeColor="text1"/>
    </w:rPr>
  </w:style>
  <w:style w:type="paragraph" w:styleId="TOC2">
    <w:name w:val="toc 2"/>
    <w:basedOn w:val="Normal"/>
    <w:next w:val="Normal"/>
    <w:autoRedefine/>
    <w:uiPriority w:val="39"/>
    <w:unhideWhenUsed/>
    <w:qFormat/>
    <w:rsid w:val="00E6566A"/>
    <w:pPr>
      <w:tabs>
        <w:tab w:val="left" w:pos="960"/>
        <w:tab w:val="right" w:leader="dot" w:pos="10456"/>
      </w:tabs>
      <w:spacing w:before="120" w:after="120"/>
      <w:ind w:firstLine="432"/>
    </w:pPr>
    <w:rPr>
      <w:sz w:val="23"/>
      <w:shd w:val="clear" w:color="auto" w:fill="FFFFFF"/>
    </w:rPr>
  </w:style>
  <w:style w:type="paragraph" w:styleId="TOC3">
    <w:name w:val="toc 3"/>
    <w:basedOn w:val="Normal"/>
    <w:next w:val="Normal"/>
    <w:autoRedefine/>
    <w:uiPriority w:val="39"/>
    <w:unhideWhenUsed/>
    <w:rsid w:val="002A050A"/>
    <w:pPr>
      <w:spacing w:after="100" w:line="360" w:lineRule="auto"/>
    </w:pPr>
    <w:rPr>
      <w:shd w:val="clear" w:color="auto" w:fill="FFFFFF"/>
    </w:rPr>
  </w:style>
  <w:style w:type="paragraph" w:styleId="TOC4">
    <w:name w:val="toc 4"/>
    <w:basedOn w:val="Normal"/>
    <w:next w:val="Normal"/>
    <w:autoRedefine/>
    <w:uiPriority w:val="39"/>
    <w:unhideWhenUsed/>
    <w:rsid w:val="00C35295"/>
    <w:pPr>
      <w:spacing w:after="0" w:line="360" w:lineRule="auto"/>
      <w:ind w:left="720"/>
    </w:pPr>
    <w:rPr>
      <w:rFonts w:cstheme="minorHAnsi"/>
    </w:rPr>
  </w:style>
  <w:style w:type="paragraph" w:styleId="TOC5">
    <w:name w:val="toc 5"/>
    <w:basedOn w:val="Normal"/>
    <w:next w:val="Normal"/>
    <w:autoRedefine/>
    <w:uiPriority w:val="39"/>
    <w:unhideWhenUsed/>
    <w:rsid w:val="00C35295"/>
    <w:pPr>
      <w:spacing w:after="0"/>
      <w:ind w:left="960"/>
    </w:pPr>
    <w:rPr>
      <w:rFonts w:cstheme="minorHAnsi"/>
    </w:rPr>
  </w:style>
  <w:style w:type="character" w:customStyle="1" w:styleId="Heading6Char">
    <w:name w:val="Heading 6 Char"/>
    <w:basedOn w:val="DefaultParagraphFont"/>
    <w:link w:val="Heading6"/>
    <w:uiPriority w:val="9"/>
    <w:rsid w:val="00AA05F7"/>
    <w:rPr>
      <w:rFonts w:ascii="Frank Ruhl Libre" w:hAnsi="Frank Ruhl Libre" w:cs="Frank Ruhl Libre"/>
      <w:kern w:val="0"/>
      <w:sz w:val="24"/>
      <w:szCs w:val="24"/>
      <w14:ligatures w14:val="none"/>
    </w:rPr>
  </w:style>
  <w:style w:type="character" w:customStyle="1" w:styleId="Heading1Char">
    <w:name w:val="Heading 1 Char"/>
    <w:basedOn w:val="DefaultParagraphFont"/>
    <w:link w:val="Heading10"/>
    <w:uiPriority w:val="9"/>
    <w:rsid w:val="0032450A"/>
    <w:rPr>
      <w:rFonts w:ascii="Times New Roman" w:hAnsi="Times New Roman" w:cs="Times New Roman"/>
      <w:b/>
      <w:bCs/>
      <w:kern w:val="0"/>
      <w:sz w:val="24"/>
      <w:szCs w:val="24"/>
      <w:shd w:val="clear" w:color="auto" w:fill="8ED9C7" w:themeFill="accent4" w:themeFillTint="99"/>
      <w14:ligatures w14:val="none"/>
    </w:rPr>
  </w:style>
  <w:style w:type="paragraph" w:styleId="Subtitle">
    <w:name w:val="Subtitle"/>
    <w:basedOn w:val="Heading6"/>
    <w:next w:val="Normal"/>
    <w:link w:val="SubtitleChar"/>
    <w:uiPriority w:val="11"/>
    <w:qFormat/>
    <w:rsid w:val="00AA05F7"/>
  </w:style>
  <w:style w:type="character" w:customStyle="1" w:styleId="SubtitleChar">
    <w:name w:val="Subtitle Char"/>
    <w:basedOn w:val="DefaultParagraphFont"/>
    <w:link w:val="Subtitle"/>
    <w:uiPriority w:val="11"/>
    <w:rsid w:val="00AA05F7"/>
    <w:rPr>
      <w:rFonts w:ascii="Frank Ruhl Libre" w:hAnsi="Frank Ruhl Libre" w:cs="Frank Ruhl Libre"/>
      <w:kern w:val="0"/>
      <w:sz w:val="24"/>
      <w:szCs w:val="24"/>
      <w14:ligatures w14:val="none"/>
    </w:rPr>
  </w:style>
  <w:style w:type="character" w:customStyle="1" w:styleId="Heading3Char">
    <w:name w:val="Heading 3 Char"/>
    <w:basedOn w:val="DefaultParagraphFont"/>
    <w:link w:val="Heading3"/>
    <w:uiPriority w:val="9"/>
    <w:rsid w:val="00692CF4"/>
    <w:rPr>
      <w:rFonts w:ascii="Times New Roman" w:hAnsi="Times New Roman" w:cs="Times New Roman"/>
      <w:b/>
      <w:bCs/>
      <w:kern w:val="0"/>
      <w:shd w:val="clear" w:color="auto" w:fill="8ED9C7" w:themeFill="accent4" w:themeFillTint="99"/>
      <w14:ligatures w14:val="none"/>
    </w:rPr>
  </w:style>
  <w:style w:type="character" w:customStyle="1" w:styleId="Heading2Char">
    <w:name w:val="Heading 2 Char"/>
    <w:basedOn w:val="DefaultParagraphFont"/>
    <w:link w:val="Heading20"/>
    <w:uiPriority w:val="9"/>
    <w:rsid w:val="00B67C25"/>
    <w:rPr>
      <w:rFonts w:ascii="Times New Roman" w:hAnsi="Times New Roman" w:cs="Times New Roman"/>
      <w:b/>
      <w:bCs/>
      <w:kern w:val="0"/>
      <w:shd w:val="clear" w:color="auto" w:fill="D9F2EC" w:themeFill="accent4" w:themeFillTint="33"/>
      <w14:ligatures w14:val="none"/>
    </w:rPr>
  </w:style>
  <w:style w:type="character" w:customStyle="1" w:styleId="Heading4Char">
    <w:name w:val="Heading 4 Char"/>
    <w:basedOn w:val="DefaultParagraphFont"/>
    <w:link w:val="Heading4"/>
    <w:uiPriority w:val="9"/>
    <w:rsid w:val="00CF1F7C"/>
    <w:rPr>
      <w:rFonts w:ascii="Times New Roman" w:hAnsi="Times New Roman" w:cs="Times New Roman"/>
      <w:sz w:val="24"/>
      <w:szCs w:val="24"/>
    </w:rPr>
  </w:style>
  <w:style w:type="paragraph" w:styleId="Title">
    <w:name w:val="Title"/>
    <w:aliases w:val="Italic"/>
    <w:basedOn w:val="Normal"/>
    <w:next w:val="Normal"/>
    <w:link w:val="TitleChar"/>
    <w:uiPriority w:val="10"/>
    <w:qFormat/>
    <w:rsid w:val="00CF1F7C"/>
    <w:rPr>
      <w:i/>
      <w:iCs/>
    </w:rPr>
  </w:style>
  <w:style w:type="character" w:customStyle="1" w:styleId="TitleChar">
    <w:name w:val="Title Char"/>
    <w:aliases w:val="Italic Char"/>
    <w:basedOn w:val="DefaultParagraphFont"/>
    <w:link w:val="Title"/>
    <w:uiPriority w:val="10"/>
    <w:rsid w:val="00CF1F7C"/>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AA05F7"/>
    <w:rPr>
      <w:rFonts w:ascii="Frank Ruhl Libre" w:hAnsi="Frank Ruhl Libre" w:cs="Frank Ruhl Libre"/>
      <w:kern w:val="0"/>
      <w:sz w:val="24"/>
      <w:szCs w:val="24"/>
      <w14:ligatures w14:val="none"/>
    </w:rPr>
  </w:style>
  <w:style w:type="paragraph" w:styleId="ListParagraph">
    <w:name w:val="List Paragraph"/>
    <w:basedOn w:val="Normal"/>
    <w:uiPriority w:val="1"/>
    <w:qFormat/>
    <w:rsid w:val="00B47FA1"/>
    <w:pPr>
      <w:ind w:left="720"/>
      <w:contextualSpacing/>
    </w:pPr>
  </w:style>
  <w:style w:type="paragraph" w:customStyle="1" w:styleId="Style1">
    <w:name w:val="Style1"/>
    <w:basedOn w:val="Caption"/>
    <w:link w:val="Style1Char"/>
    <w:rsid w:val="00661C1D"/>
    <w:pPr>
      <w:spacing w:line="360" w:lineRule="auto"/>
    </w:pPr>
  </w:style>
  <w:style w:type="character" w:customStyle="1" w:styleId="Style1Char">
    <w:name w:val="Style1 Char"/>
    <w:basedOn w:val="DefaultParagraphFont"/>
    <w:link w:val="Style1"/>
    <w:rsid w:val="00661C1D"/>
    <w:rPr>
      <w:rFonts w:ascii="Times New Roman" w:hAnsi="Times New Roman" w:cs="Times New Roman"/>
      <w:b/>
      <w:bCs/>
      <w:kern w:val="0"/>
      <w:sz w:val="24"/>
      <w:szCs w:val="24"/>
      <w14:ligatures w14:val="none"/>
    </w:rPr>
  </w:style>
  <w:style w:type="paragraph" w:customStyle="1" w:styleId="Heading2">
    <w:name w:val="Heading2"/>
    <w:basedOn w:val="Heading20"/>
    <w:next w:val="Heading20"/>
    <w:link w:val="Heading2Char0"/>
    <w:rsid w:val="00B81E03"/>
    <w:pPr>
      <w:numPr>
        <w:ilvl w:val="1"/>
        <w:numId w:val="7"/>
      </w:numPr>
    </w:pPr>
    <w:rPr>
      <w:sz w:val="28"/>
    </w:rPr>
  </w:style>
  <w:style w:type="character" w:customStyle="1" w:styleId="Heading2Char0">
    <w:name w:val="Heading2 Char"/>
    <w:basedOn w:val="Heading2Char"/>
    <w:link w:val="Heading2"/>
    <w:rsid w:val="00B81E03"/>
    <w:rPr>
      <w:rFonts w:ascii="Times New Roman" w:hAnsi="Times New Roman" w:cs="Times New Roman"/>
      <w:b/>
      <w:bCs/>
      <w:noProof/>
      <w:kern w:val="0"/>
      <w:sz w:val="28"/>
      <w:szCs w:val="24"/>
      <w:shd w:val="clear" w:color="auto" w:fill="8ED9C7" w:themeFill="accent4" w:themeFillTint="99"/>
      <w14:ligatures w14:val="none"/>
    </w:rPr>
  </w:style>
  <w:style w:type="paragraph" w:customStyle="1" w:styleId="Heading1">
    <w:name w:val="Heading1"/>
    <w:basedOn w:val="Heading10"/>
    <w:next w:val="Heading10"/>
    <w:link w:val="Heading1Char0"/>
    <w:rsid w:val="00661C1D"/>
    <w:pPr>
      <w:numPr>
        <w:ilvl w:val="2"/>
        <w:numId w:val="7"/>
      </w:numPr>
      <w:spacing w:after="260"/>
    </w:pPr>
    <w:rPr>
      <w:sz w:val="28"/>
      <w:szCs w:val="28"/>
    </w:rPr>
  </w:style>
  <w:style w:type="character" w:customStyle="1" w:styleId="Heading1Char0">
    <w:name w:val="Heading1 Char"/>
    <w:basedOn w:val="Heading1Char"/>
    <w:link w:val="Heading1"/>
    <w:rsid w:val="00B81E03"/>
    <w:rPr>
      <w:rFonts w:ascii="Times New Roman" w:hAnsi="Times New Roman" w:cs="Times New Roman"/>
      <w:b/>
      <w:bCs/>
      <w:i w:val="0"/>
      <w:iCs w:val="0"/>
      <w:kern w:val="0"/>
      <w:sz w:val="28"/>
      <w:szCs w:val="28"/>
      <w:shd w:val="clear" w:color="auto" w:fill="9FD37C" w:themeFill="accent2" w:themeFillTint="99"/>
      <w14:ligatures w14:val="none"/>
    </w:rPr>
  </w:style>
  <w:style w:type="paragraph" w:customStyle="1" w:styleId="Heading30">
    <w:name w:val="Heading3"/>
    <w:basedOn w:val="NoSpacing"/>
    <w:next w:val="Heading3"/>
    <w:link w:val="Heading3Char0"/>
    <w:rsid w:val="00AA05F7"/>
  </w:style>
  <w:style w:type="character" w:customStyle="1" w:styleId="Heading3Char0">
    <w:name w:val="Heading3 Char"/>
    <w:basedOn w:val="Heading3Char"/>
    <w:link w:val="Heading30"/>
    <w:rsid w:val="00AA05F7"/>
    <w:rPr>
      <w:rFonts w:ascii="Frank Ruhl Libre" w:hAnsi="Frank Ruhl Libre" w:cs="Frank Ruhl Libre"/>
      <w:b w:val="0"/>
      <w:bCs w:val="0"/>
      <w:kern w:val="0"/>
      <w:sz w:val="24"/>
      <w:szCs w:val="24"/>
      <w:shd w:val="clear" w:color="auto" w:fill="8ED9C7" w:themeFill="accent4" w:themeFillTint="99"/>
      <w14:ligatures w14:val="none"/>
    </w:rPr>
  </w:style>
  <w:style w:type="paragraph" w:styleId="Caption">
    <w:name w:val="caption"/>
    <w:basedOn w:val="Normal"/>
    <w:next w:val="Normal"/>
    <w:uiPriority w:val="35"/>
    <w:unhideWhenUsed/>
    <w:qFormat/>
    <w:rsid w:val="00661C1D"/>
    <w:pPr>
      <w:numPr>
        <w:numId w:val="8"/>
      </w:numPr>
    </w:pPr>
    <w:rPr>
      <w:b/>
      <w:bCs/>
    </w:rPr>
  </w:style>
  <w:style w:type="paragraph" w:styleId="NoSpacing">
    <w:name w:val="No Spacing"/>
    <w:uiPriority w:val="1"/>
    <w:qFormat/>
    <w:rsid w:val="00AA05F7"/>
    <w:pPr>
      <w:spacing w:after="0"/>
    </w:pPr>
    <w:rPr>
      <w:rFonts w:ascii="Frank Ruhl Libre" w:hAnsi="Frank Ruhl Libre" w:cs="Frank Ruhl Libre"/>
      <w:kern w:val="0"/>
      <w:sz w:val="24"/>
      <w:szCs w:val="24"/>
      <w14:ligatures w14:val="none"/>
    </w:rPr>
  </w:style>
  <w:style w:type="table" w:styleId="TableGrid">
    <w:name w:val="Table Grid"/>
    <w:basedOn w:val="TableNormal"/>
    <w:uiPriority w:val="39"/>
    <w:rsid w:val="00BE1E7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1E76"/>
    <w:rPr>
      <w:color w:val="EE7B08" w:themeColor="hyperlink"/>
      <w:u w:val="single"/>
    </w:rPr>
  </w:style>
  <w:style w:type="character" w:styleId="UnresolvedMention">
    <w:name w:val="Unresolved Mention"/>
    <w:basedOn w:val="DefaultParagraphFont"/>
    <w:uiPriority w:val="99"/>
    <w:semiHidden/>
    <w:unhideWhenUsed/>
    <w:rsid w:val="00BE1E76"/>
    <w:rPr>
      <w:color w:val="605E5C"/>
      <w:shd w:val="clear" w:color="auto" w:fill="E1DFDD"/>
    </w:rPr>
  </w:style>
  <w:style w:type="paragraph" w:styleId="Bibliography">
    <w:name w:val="Bibliography"/>
    <w:basedOn w:val="Normal"/>
    <w:next w:val="Normal"/>
    <w:uiPriority w:val="37"/>
    <w:unhideWhenUsed/>
    <w:rsid w:val="00D944CE"/>
    <w:pPr>
      <w:spacing w:after="0" w:line="480" w:lineRule="auto"/>
      <w:ind w:left="720" w:hanging="720"/>
    </w:pPr>
  </w:style>
  <w:style w:type="paragraph" w:customStyle="1" w:styleId="TableParagraph">
    <w:name w:val="Table Paragraph"/>
    <w:basedOn w:val="Normal"/>
    <w:uiPriority w:val="1"/>
    <w:qFormat/>
    <w:rsid w:val="005D52D8"/>
    <w:pPr>
      <w:widowControl w:val="0"/>
      <w:autoSpaceDE w:val="0"/>
      <w:autoSpaceDN w:val="0"/>
      <w:spacing w:after="0" w:line="240" w:lineRule="auto"/>
      <w:jc w:val="left"/>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19756">
      <w:bodyDiv w:val="1"/>
      <w:marLeft w:val="0"/>
      <w:marRight w:val="0"/>
      <w:marTop w:val="0"/>
      <w:marBottom w:val="0"/>
      <w:divBdr>
        <w:top w:val="none" w:sz="0" w:space="0" w:color="auto"/>
        <w:left w:val="none" w:sz="0" w:space="0" w:color="auto"/>
        <w:bottom w:val="none" w:sz="0" w:space="0" w:color="auto"/>
        <w:right w:val="none" w:sz="0" w:space="0" w:color="auto"/>
      </w:divBdr>
      <w:divsChild>
        <w:div w:id="2128544538">
          <w:marLeft w:val="0"/>
          <w:marRight w:val="0"/>
          <w:marTop w:val="0"/>
          <w:marBottom w:val="0"/>
          <w:divBdr>
            <w:top w:val="none" w:sz="0" w:space="0" w:color="auto"/>
            <w:left w:val="none" w:sz="0" w:space="0" w:color="auto"/>
            <w:bottom w:val="none" w:sz="0" w:space="0" w:color="auto"/>
            <w:right w:val="none" w:sz="0" w:space="0" w:color="auto"/>
          </w:divBdr>
        </w:div>
      </w:divsChild>
    </w:div>
    <w:div w:id="332071861">
      <w:bodyDiv w:val="1"/>
      <w:marLeft w:val="0"/>
      <w:marRight w:val="0"/>
      <w:marTop w:val="0"/>
      <w:marBottom w:val="0"/>
      <w:divBdr>
        <w:top w:val="none" w:sz="0" w:space="0" w:color="auto"/>
        <w:left w:val="none" w:sz="0" w:space="0" w:color="auto"/>
        <w:bottom w:val="none" w:sz="0" w:space="0" w:color="auto"/>
        <w:right w:val="none" w:sz="0" w:space="0" w:color="auto"/>
      </w:divBdr>
      <w:divsChild>
        <w:div w:id="196356593">
          <w:marLeft w:val="0"/>
          <w:marRight w:val="0"/>
          <w:marTop w:val="0"/>
          <w:marBottom w:val="0"/>
          <w:divBdr>
            <w:top w:val="none" w:sz="0" w:space="0" w:color="auto"/>
            <w:left w:val="none" w:sz="0" w:space="0" w:color="auto"/>
            <w:bottom w:val="none" w:sz="0" w:space="0" w:color="auto"/>
            <w:right w:val="none" w:sz="0" w:space="0" w:color="auto"/>
          </w:divBdr>
        </w:div>
      </w:divsChild>
    </w:div>
    <w:div w:id="392121991">
      <w:bodyDiv w:val="1"/>
      <w:marLeft w:val="0"/>
      <w:marRight w:val="0"/>
      <w:marTop w:val="0"/>
      <w:marBottom w:val="0"/>
      <w:divBdr>
        <w:top w:val="none" w:sz="0" w:space="0" w:color="auto"/>
        <w:left w:val="none" w:sz="0" w:space="0" w:color="auto"/>
        <w:bottom w:val="none" w:sz="0" w:space="0" w:color="auto"/>
        <w:right w:val="none" w:sz="0" w:space="0" w:color="auto"/>
      </w:divBdr>
    </w:div>
    <w:div w:id="1060136508">
      <w:bodyDiv w:val="1"/>
      <w:marLeft w:val="0"/>
      <w:marRight w:val="0"/>
      <w:marTop w:val="0"/>
      <w:marBottom w:val="0"/>
      <w:divBdr>
        <w:top w:val="none" w:sz="0" w:space="0" w:color="auto"/>
        <w:left w:val="none" w:sz="0" w:space="0" w:color="auto"/>
        <w:bottom w:val="none" w:sz="0" w:space="0" w:color="auto"/>
        <w:right w:val="none" w:sz="0" w:space="0" w:color="auto"/>
      </w:divBdr>
    </w:div>
    <w:div w:id="1074545143">
      <w:bodyDiv w:val="1"/>
      <w:marLeft w:val="0"/>
      <w:marRight w:val="0"/>
      <w:marTop w:val="0"/>
      <w:marBottom w:val="0"/>
      <w:divBdr>
        <w:top w:val="none" w:sz="0" w:space="0" w:color="auto"/>
        <w:left w:val="none" w:sz="0" w:space="0" w:color="auto"/>
        <w:bottom w:val="none" w:sz="0" w:space="0" w:color="auto"/>
        <w:right w:val="none" w:sz="0" w:space="0" w:color="auto"/>
      </w:divBdr>
    </w:div>
    <w:div w:id="1128740229">
      <w:bodyDiv w:val="1"/>
      <w:marLeft w:val="0"/>
      <w:marRight w:val="0"/>
      <w:marTop w:val="0"/>
      <w:marBottom w:val="0"/>
      <w:divBdr>
        <w:top w:val="none" w:sz="0" w:space="0" w:color="auto"/>
        <w:left w:val="none" w:sz="0" w:space="0" w:color="auto"/>
        <w:bottom w:val="none" w:sz="0" w:space="0" w:color="auto"/>
        <w:right w:val="none" w:sz="0" w:space="0" w:color="auto"/>
      </w:divBdr>
    </w:div>
    <w:div w:id="1631747169">
      <w:bodyDiv w:val="1"/>
      <w:marLeft w:val="0"/>
      <w:marRight w:val="0"/>
      <w:marTop w:val="0"/>
      <w:marBottom w:val="0"/>
      <w:divBdr>
        <w:top w:val="none" w:sz="0" w:space="0" w:color="auto"/>
        <w:left w:val="none" w:sz="0" w:space="0" w:color="auto"/>
        <w:bottom w:val="none" w:sz="0" w:space="0" w:color="auto"/>
        <w:right w:val="none" w:sz="0" w:space="0" w:color="auto"/>
      </w:divBdr>
    </w:div>
    <w:div w:id="190803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5</Pages>
  <Words>1698</Words>
  <Characters>9682</Characters>
  <Application>Microsoft Office Word</Application>
  <DocSecurity>0</DocSecurity>
  <Lines>80</Lines>
  <Paragraphs>22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Author response to Editorial comments</vt:lpstr>
    </vt:vector>
  </TitlesOfParts>
  <Company/>
  <LinksUpToDate>false</LinksUpToDate>
  <CharactersWithSpaces>11358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Ataher Ali</dc:creator>
  <cp:keywords/>
  <dc:description/>
  <cp:lastModifiedBy>Ataher Ali</cp:lastModifiedBy>
  <cp:revision>54</cp:revision>
  <cp:lastPrinted>2024-09-04T06:52:00Z</cp:lastPrinted>
  <dcterms:created xsi:type="dcterms:W3CDTF">2024-11-11T20:24:00Z</dcterms:created>
  <dcterms:modified xsi:type="dcterms:W3CDTF">2025-06-29T20:59:00Z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id="T3UqiU0o"/&gt;&lt;style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