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53.png" ContentType="image/png"/>
  <Override PartName="/word/media/image50.png" ContentType="image/png"/>
  <Override PartName="/word/media/image54.png" ContentType="image/png"/>
  <Override PartName="/word/media/image51.png" ContentType="image/png"/>
  <Override PartName="/word/media/image55.png" ContentType="image/png"/>
  <Override PartName="/word/media/image52.png" ContentType="image/png"/>
  <Override PartName="/word/header1.xml" ContentType="application/vnd.openxmlformats-officedocument.wordprocessingml.header+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br/>
      </w:r>
    </w:p>
    <w:p>
      <w:pPr>
        <w:pStyle w:val="style0"/>
      </w:pPr>
      <w:r>
        <w:rPr/>
      </w:r>
    </w:p>
    <w:p>
      <w:pPr>
        <w:pStyle w:val="style0"/>
      </w:pPr>
      <w:r>
        <w:rPr/>
      </w:r>
    </w:p>
    <w:p>
      <w:pPr>
        <w:pStyle w:val="style0"/>
      </w:pPr>
      <w:r>
        <w:rPr/>
      </w:r>
    </w:p>
    <w:p>
      <w:pPr>
        <w:pStyle w:val="style0"/>
        <w:jc w:val="center"/>
      </w:pPr>
      <w:r>
        <w:rPr/>
      </w:r>
    </w:p>
    <w:p>
      <w:pPr>
        <w:pStyle w:val="style0"/>
        <w:jc w:val="center"/>
      </w:pPr>
      <w:bookmarkStart w:id="0" w:name="_Toc134178265"/>
      <w:bookmarkEnd w:id="0"/>
      <w:r>
        <w:rPr>
          <w:b/>
          <w:bCs/>
        </w:rPr>
        <w:t>A Network of Excellence forging the</w:t>
      </w:r>
    </w:p>
    <w:p>
      <w:pPr>
        <w:pStyle w:val="style0"/>
        <w:jc w:val="center"/>
      </w:pPr>
      <w:bookmarkStart w:id="1" w:name="_Toc134178266"/>
      <w:bookmarkEnd w:id="1"/>
      <w:r>
        <w:rPr>
          <w:b/>
          <w:bCs/>
        </w:rPr>
        <w:t>Multilingual Europe Technology Alliance</w:t>
      </w:r>
    </w:p>
    <w:p>
      <w:pPr>
        <w:pStyle w:val="style0"/>
        <w:pBdr>
          <w:bottom w:color="00000A" w:space="0" w:sz="12" w:val="single"/>
        </w:pBdr>
      </w:pPr>
      <w:r>
        <w:rPr/>
      </w:r>
    </w:p>
    <w:p>
      <w:pPr>
        <w:pStyle w:val="style0"/>
      </w:pPr>
      <w:r>
        <w:rPr/>
      </w:r>
    </w:p>
    <w:p>
      <w:pPr>
        <w:pStyle w:val="style0"/>
        <w:jc w:val="center"/>
      </w:pPr>
      <w:r>
        <w:rPr>
          <w:b/>
          <w:bCs/>
          <w:sz w:val="40"/>
          <w:szCs w:val="40"/>
        </w:rPr>
        <w:t>META-SHARE V2 Provider Manual</w:t>
      </w:r>
    </w:p>
    <w:p>
      <w:pPr>
        <w:pStyle w:val="style0"/>
        <w:pBdr>
          <w:bottom w:color="00000A" w:space="0" w:sz="12" w:val="single"/>
        </w:pBdr>
        <w:jc w:val="center"/>
      </w:pPr>
      <w:r>
        <w:rPr/>
      </w:r>
    </w:p>
    <w:p>
      <w:pPr>
        <w:pStyle w:val="style0"/>
        <w:spacing w:after="240" w:before="0" w:line="100" w:lineRule="atLeast"/>
      </w:pPr>
      <w:r>
        <w:rPr/>
      </w:r>
    </w:p>
    <w:p>
      <w:pPr>
        <w:pStyle w:val="style0"/>
        <w:spacing w:after="240" w:before="0" w:line="100" w:lineRule="atLeast"/>
        <w:ind w:hanging="2832" w:left="2832" w:right="0"/>
      </w:pPr>
      <w:r>
        <w:rPr>
          <w:b/>
          <w:bCs/>
        </w:rPr>
        <w:t>Author(s):</w:t>
      </w:r>
      <w:r>
        <w:rPr/>
        <w:tab/>
        <w:t>Victoria Arranz, Christian Federmann, Ioanna Giannopoulou, Olivier Hamon, Marc Schröder</w:t>
      </w:r>
    </w:p>
    <w:p>
      <w:pPr>
        <w:pStyle w:val="style0"/>
        <w:spacing w:after="240" w:before="0" w:line="100" w:lineRule="atLeast"/>
        <w:ind w:hanging="2832" w:left="2832" w:right="0"/>
      </w:pPr>
      <w:r>
        <w:rPr>
          <w:b/>
          <w:bCs/>
        </w:rPr>
        <w:t>Date:</w:t>
        <w:tab/>
      </w:r>
      <w:r>
        <w:rPr/>
        <w:t>March 07th, 2012</w:t>
      </w:r>
    </w:p>
    <w:p>
      <w:pPr>
        <w:pStyle w:val="style0"/>
        <w:spacing w:after="240" w:before="0" w:line="100" w:lineRule="atLeast"/>
        <w:ind w:hanging="2832" w:left="2832" w:right="0"/>
      </w:pPr>
      <w:r>
        <w:rPr/>
      </w:r>
    </w:p>
    <w:p>
      <w:pPr>
        <w:pStyle w:val="style0"/>
        <w:spacing w:after="240" w:before="0" w:line="100" w:lineRule="atLeast"/>
      </w:pPr>
      <w:bookmarkStart w:id="2" w:name="_Toc134178267"/>
      <w:bookmarkStart w:id="3" w:name="_Toc134178267"/>
      <w:bookmarkEnd w:id="3"/>
      <w:r>
        <w:rPr/>
      </w:r>
    </w:p>
    <w:p>
      <w:pPr>
        <w:pStyle w:val="style0"/>
        <w:spacing w:after="240" w:before="0" w:line="100" w:lineRule="atLeast"/>
      </w:pPr>
      <w:r>
        <w:rPr/>
      </w:r>
    </w:p>
    <w:p>
      <w:pPr>
        <w:pStyle w:val="style0"/>
        <w:spacing w:after="240" w:before="0" w:line="100" w:lineRule="atLeast"/>
      </w:pPr>
      <w:r>
        <w:rPr/>
      </w:r>
    </w:p>
    <w:p>
      <w:pPr>
        <w:pStyle w:val="style0"/>
        <w:spacing w:after="240" w:before="0" w:line="100" w:lineRule="atLeast"/>
      </w:pPr>
      <w:r>
        <w:rPr/>
      </w:r>
    </w:p>
    <w:p>
      <w:pPr>
        <w:pStyle w:val="style0"/>
        <w:spacing w:after="240" w:before="0" w:line="100" w:lineRule="atLeast"/>
      </w:pPr>
      <w:r>
        <w:rPr/>
      </w:r>
    </w:p>
    <w:p>
      <w:pPr>
        <w:pStyle w:val="style0"/>
        <w:spacing w:after="200" w:before="0" w:line="276" w:lineRule="auto"/>
      </w:pPr>
      <w:r>
        <w:rPr/>
      </w:r>
    </w:p>
    <w:p>
      <w:pPr>
        <w:sectPr>
          <w:headerReference r:id="rId2" w:type="first"/>
          <w:type w:val="nextPage"/>
          <w:pgSz w:h="16838" w:w="11906"/>
          <w:pgMar w:bottom="708" w:footer="0" w:gutter="0" w:header="732" w:left="1440" w:right="1440" w:top="789"/>
          <w:pgNumType w:fmt="decimal"/>
          <w:formProt w:val="false"/>
          <w:titlePg/>
          <w:textDirection w:val="lrTb"/>
          <w:docGrid w:charSpace="-2049" w:linePitch="360" w:type="default"/>
        </w:sectPr>
        <w:pStyle w:val="style0"/>
        <w:spacing w:after="200" w:before="0" w:line="276" w:lineRule="auto"/>
      </w:pPr>
      <w:r>
        <w:rPr/>
      </w:r>
    </w:p>
    <w:p>
      <w:pPr>
        <w:pStyle w:val="style0"/>
        <w:pageBreakBefore/>
        <w:suppressAutoHyphens w:val="true"/>
        <w:jc w:val="both"/>
      </w:pPr>
      <w:bookmarkStart w:id="4" w:name="_Toc1341782671"/>
      <w:bookmarkEnd w:id="4"/>
      <w:r>
        <w:rPr>
          <w:b/>
          <w:bCs/>
          <w:sz w:val="36"/>
          <w:szCs w:val="36"/>
          <w:lang w:val="en-US"/>
        </w:rPr>
        <w:t xml:space="preserve"> </w:t>
      </w:r>
      <w:r>
        <w:rPr>
          <w:b/>
          <w:bCs/>
          <w:sz w:val="36"/>
          <w:szCs w:val="36"/>
        </w:rPr>
        <w:t>Table of Contents</w:t>
      </w:r>
    </w:p>
    <w:p>
      <w:pPr>
        <w:pStyle w:val="style73"/>
      </w:pPr>
      <w:r>
        <w:rPr/>
      </w:r>
    </w:p>
    <w:p>
      <w:pPr>
        <w:pStyle w:val="style73"/>
      </w:pPr>
      <w:r>
        <w:rPr/>
      </w:r>
    </w:p>
    <w:p>
      <w:pPr>
        <w:sectPr>
          <w:headerReference r:id="rId3" w:type="default"/>
          <w:footerReference r:id="rId4" w:type="default"/>
          <w:type w:val="nextPage"/>
          <w:pgSz w:h="16838" w:w="11906"/>
          <w:pgMar w:bottom="1440" w:footer="708" w:gutter="0" w:header="708" w:left="1440" w:right="1440" w:top="1440"/>
          <w:pgNumType w:fmt="decimal"/>
          <w:formProt w:val="false"/>
          <w:textDirection w:val="lrTb"/>
          <w:docGrid w:charSpace="-2049" w:linePitch="360" w:type="default"/>
        </w:sectPr>
      </w:pPr>
    </w:p>
    <w:p>
      <w:pPr>
        <w:pStyle w:val="style72"/>
      </w:pPr>
      <w:hyperlink w:anchor="__RefHeading__732_909125252">
        <w:r>
          <w:rPr/>
        </w:r>
      </w:hyperlink>
    </w:p>
    <w:p>
      <w:pPr>
        <w:sectPr>
          <w:type w:val="continuous"/>
          <w:pgSz w:h="16838" w:w="11906"/>
          <w:pgMar w:bottom="1440" w:footer="708" w:gutter="0" w:header="708" w:left="1440" w:right="1440" w:top="1440"/>
          <w:formProt w:val="false"/>
          <w:textDirection w:val="lrTb"/>
          <w:docGrid w:charSpace="-2049" w:linePitch="360" w:type="default"/>
        </w:sectPr>
      </w:pPr>
    </w:p>
    <w:p>
      <w:pPr>
        <w:pStyle w:val="style77"/>
        <w:tabs>
          <w:tab w:leader="dot" w:pos="9026" w:val="right"/>
        </w:tabs>
      </w:pPr>
      <w:r>
        <w:fldChar w:fldCharType="begin"/>
      </w:r>
      <w:r>
        <w:instrText> TOC </w:instrText>
      </w:r>
      <w:r>
        <w:fldChar w:fldCharType="separate"/>
      </w:r>
      <w:r>
        <w:rPr/>
        <w:t>1.Executive Summary</w:t>
        <w:tab/>
        <w:t>3</w:t>
      </w:r>
    </w:p>
    <w:p>
      <w:pPr>
        <w:pStyle w:val="style77"/>
        <w:tabs>
          <w:tab w:leader="dot" w:pos="9026" w:val="right"/>
        </w:tabs>
      </w:pPr>
      <w:r>
        <w:rPr/>
        <w:t>2.Provider-oriented documentation</w:t>
        <w:tab/>
        <w:t>3</w:t>
      </w:r>
    </w:p>
    <w:p>
      <w:pPr>
        <w:pStyle w:val="style78"/>
        <w:tabs>
          <w:tab w:leader="dot" w:pos="9226" w:val="right"/>
        </w:tabs>
      </w:pPr>
      <w:r>
        <w:rPr/>
        <w:t>2.1Upgrading a user account to a provider account</w:t>
        <w:tab/>
        <w:t>3</w:t>
      </w:r>
    </w:p>
    <w:p>
      <w:pPr>
        <w:pStyle w:val="style78"/>
        <w:tabs>
          <w:tab w:leader="dot" w:pos="9226" w:val="right"/>
        </w:tabs>
      </w:pPr>
      <w:r>
        <w:rPr/>
        <w:t>2.2Add a Language Resource</w:t>
        <w:tab/>
        <w:t>3</w:t>
      </w:r>
    </w:p>
    <w:p>
      <w:pPr>
        <w:pStyle w:val="style78"/>
        <w:tabs>
          <w:tab w:leader="dot" w:pos="9226" w:val="right"/>
        </w:tabs>
      </w:pPr>
      <w:r>
        <w:rPr/>
        <w:t>2.3Manage Language Resources</w:t>
        <w:tab/>
        <w:t>7</w:t>
      </w:r>
    </w:p>
    <w:p>
      <w:pPr>
        <w:pStyle w:val="style78"/>
        <w:tabs>
          <w:tab w:leader="dot" w:pos="9226" w:val="right"/>
        </w:tabs>
      </w:pPr>
      <w:r>
        <w:rPr/>
        <w:t>2.4Add and change metadata information</w:t>
        <w:tab/>
        <w:t>8</w:t>
      </w:r>
    </w:p>
    <w:p>
      <w:pPr>
        <w:pStyle w:val="style78"/>
        <w:tabs>
          <w:tab w:leader="dot" w:pos="9226" w:val="right"/>
        </w:tabs>
      </w:pPr>
      <w:r>
        <w:rPr/>
        <w:t>2.5Import Language Resources</w:t>
        <w:tab/>
        <w:t>9</w:t>
      </w:r>
    </w:p>
    <w:p>
      <w:pPr>
        <w:pStyle w:val="style84"/>
        <w:tabs>
          <w:tab w:leader="dot" w:pos="9468" w:val="right"/>
        </w:tabs>
      </w:pPr>
      <w:r>
        <w:rPr/>
        <w:t>2.5.1Prepare the import file</w:t>
        <w:tab/>
        <w:t>9</w:t>
      </w:r>
    </w:p>
    <w:p>
      <w:pPr>
        <w:pStyle w:val="style84"/>
        <w:tabs>
          <w:tab w:leader="dot" w:pos="9468" w:val="right"/>
        </w:tabs>
      </w:pPr>
      <w:r>
        <w:rPr/>
        <w:t>2.5.2Upload/Import in META-SHARE</w:t>
        <w:tab/>
        <w:t>9</w:t>
      </w:r>
    </w:p>
    <w:p>
      <w:pPr>
        <w:pStyle w:val="style85"/>
        <w:tabs>
          <w:tab w:leader="dot" w:pos="9746" w:val="right"/>
        </w:tabs>
      </w:pPr>
      <w:r>
        <w:rPr/>
        <w:t>2.5.2.1Import script</w:t>
        <w:tab/>
        <w:t>9</w:t>
      </w:r>
    </w:p>
    <w:p>
      <w:pPr>
        <w:pStyle w:val="style84"/>
        <w:tabs>
          <w:tab w:leader="dot" w:pos="9468" w:val="right"/>
        </w:tabs>
      </w:pPr>
      <w:r>
        <w:rPr/>
        <w:t>2.5.3Conversion of existing LRs</w:t>
        <w:tab/>
        <w:t>10</w:t>
      </w:r>
    </w:p>
    <w:p>
      <w:pPr>
        <w:pStyle w:val="style78"/>
        <w:tabs>
          <w:tab w:leader="dot" w:pos="9226" w:val="right"/>
        </w:tabs>
      </w:pPr>
      <w:r>
        <w:rPr/>
        <w:t xml:space="preserve">2.6Add Downloads to Resources </w:t>
        <w:tab/>
        <w:t>10</w:t>
      </w:r>
    </w:p>
    <w:p>
      <w:pPr>
        <w:pStyle w:val="style84"/>
        <w:tabs>
          <w:tab w:leader="dot" w:pos="9468" w:val="right"/>
        </w:tabs>
      </w:pPr>
      <w:r>
        <w:rPr/>
        <w:t xml:space="preserve">2.6.1Adding a Download </w:t>
        <w:tab/>
        <w:t>10</w:t>
      </w:r>
    </w:p>
    <w:p>
      <w:pPr>
        <w:pStyle w:val="style84"/>
        <w:tabs>
          <w:tab w:leader="dot" w:pos="9468" w:val="right"/>
        </w:tabs>
      </w:pPr>
      <w:r>
        <w:rPr/>
        <w:t xml:space="preserve">2.6.2Known Limitations </w:t>
        <w:tab/>
        <w:t>11</w:t>
      </w:r>
      <w:r>
        <w:fldChar w:fldCharType="end"/>
      </w:r>
    </w:p>
    <w:p>
      <w:pPr>
        <w:sectPr>
          <w:type w:val="continuous"/>
          <w:pgSz w:h="16838" w:w="11906"/>
          <w:pgMar w:bottom="1440" w:footer="708" w:gutter="0" w:header="708" w:left="1440" w:right="1440" w:top="1440"/>
          <w:formProt/>
          <w:textDirection w:val="lrTb"/>
          <w:docGrid w:charSpace="-2049" w:linePitch="360" w:type="default"/>
        </w:sectPr>
      </w:pPr>
    </w:p>
    <w:p>
      <w:pPr>
        <w:pStyle w:val="style84"/>
        <w:tabs>
          <w:tab w:leader="dot" w:pos="9910" w:val="right"/>
          <w:tab w:leader="dot" w:pos="10398" w:val="right"/>
        </w:tabs>
      </w:pPr>
      <w:r>
        <w:rPr/>
      </w:r>
    </w:p>
    <w:p>
      <w:pPr>
        <w:sectPr>
          <w:type w:val="continuous"/>
          <w:pgSz w:h="16838" w:w="11906"/>
          <w:pgMar w:bottom="1440" w:footer="708" w:gutter="0" w:header="708" w:left="1440" w:right="1440" w:top="1440"/>
          <w:formProt w:val="false"/>
          <w:textDirection w:val="lrTb"/>
          <w:docGrid w:charSpace="-2049" w:linePitch="360" w:type="default"/>
        </w:sectPr>
      </w:pPr>
    </w:p>
    <w:p>
      <w:pPr>
        <w:pStyle w:val="style77"/>
        <w:tabs>
          <w:tab w:leader="dot" w:pos="9026" w:val="right"/>
          <w:tab w:leader="dot" w:pos="9638" w:val="right"/>
        </w:tabs>
      </w:pPr>
      <w:r>
        <w:rPr/>
      </w:r>
    </w:p>
    <w:p>
      <w:pPr>
        <w:pStyle w:val="style1"/>
        <w:pageBreakBefore/>
        <w:numPr>
          <w:ilvl w:val="0"/>
          <w:numId w:val="2"/>
        </w:numPr>
      </w:pPr>
      <w:bookmarkStart w:id="5" w:name="__RefHeading__732_909125252"/>
      <w:bookmarkStart w:id="6" w:name="_Toc304817620"/>
      <w:bookmarkEnd w:id="5"/>
      <w:bookmarkEnd w:id="6"/>
      <w:r>
        <w:rPr/>
        <w:t>Executive Summary</w:t>
      </w:r>
    </w:p>
    <w:p>
      <w:pPr>
        <w:pStyle w:val="style0"/>
        <w:jc w:val="both"/>
      </w:pPr>
      <w:r>
        <w:rPr/>
        <w:t xml:space="preserve">This document is a guide for the users of META-SHARE interested in providing Language Resources (LRs) through META-SHARE. </w:t>
      </w:r>
    </w:p>
    <w:p>
      <w:pPr>
        <w:pStyle w:val="style1"/>
        <w:keepNext/>
        <w:numPr>
          <w:ilvl w:val="0"/>
          <w:numId w:val="2"/>
        </w:numPr>
        <w:spacing w:after="240" w:before="360" w:line="100" w:lineRule="atLeast"/>
      </w:pPr>
      <w:bookmarkStart w:id="7" w:name="__RefHeading__734_909125252"/>
      <w:bookmarkStart w:id="8" w:name="_Toc304817621"/>
      <w:bookmarkEnd w:id="7"/>
      <w:bookmarkEnd w:id="8"/>
      <w:r>
        <w:rPr/>
        <w:t>Provider-oriented documentation</w:t>
      </w:r>
    </w:p>
    <w:p>
      <w:pPr>
        <w:pStyle w:val="style2"/>
        <w:numPr>
          <w:ilvl w:val="1"/>
          <w:numId w:val="2"/>
        </w:numPr>
      </w:pPr>
      <w:bookmarkStart w:id="9" w:name="__RefHeading__736_909125252"/>
      <w:bookmarkStart w:id="10" w:name="_Toc304817622"/>
      <w:bookmarkEnd w:id="9"/>
      <w:bookmarkEnd w:id="10"/>
      <w:r>
        <w:rPr>
          <w:lang w:val="en-GB"/>
        </w:rPr>
        <w:t>Upgrading a user account to a provider account</w:t>
      </w:r>
    </w:p>
    <w:p>
      <w:pPr>
        <w:pStyle w:val="style0"/>
      </w:pPr>
      <w:r>
        <w:rPr/>
        <w:t>As per V2 of META-SHARE, only user accounts marked as “staff” users have the permission to create or edit LRs. For any given META-SHARE node, each “staff” user has the right to edit all language resources on that node. This means that only trusted individuals should be granted staff status.</w:t>
      </w:r>
    </w:p>
    <w:p>
      <w:pPr>
        <w:pStyle w:val="style0"/>
      </w:pPr>
      <w:r>
        <w:rPr/>
        <w:t>Future versions of META-SHARE will provide a more fine-grained system of access rights.</w:t>
      </w:r>
    </w:p>
    <w:p>
      <w:pPr>
        <w:pStyle w:val="style0"/>
      </w:pPr>
      <w:r>
        <w:rPr/>
        <w:t xml:space="preserve">In order to endow a user account with provider access, the following steps are necessary. </w:t>
      </w:r>
    </w:p>
    <w:p>
      <w:pPr>
        <w:pStyle w:val="style95"/>
        <w:numPr>
          <w:ilvl w:val="0"/>
          <w:numId w:val="6"/>
        </w:numPr>
      </w:pPr>
      <w:r>
        <w:rPr/>
        <w:t>The user account should be created as documented in the general User Manual.</w:t>
      </w:r>
    </w:p>
    <w:p>
      <w:pPr>
        <w:pStyle w:val="style95"/>
        <w:numPr>
          <w:ilvl w:val="0"/>
          <w:numId w:val="6"/>
        </w:numPr>
      </w:pPr>
      <w:r>
        <w:rPr/>
        <w:t>An administrative user must upgrade this account to a “staff” account. As described in the Installation Manual, at least one Administrator account is created as part of the installation process. This administrator can log into the admin interface at &lt;metashare-url&gt;/admin. Under “Users”, go to the details page for the user in question, tick the Permissions box “Staff status”, and confirm with “Save”.</w:t>
      </w:r>
    </w:p>
    <w:p>
      <w:pPr>
        <w:pStyle w:val="style95"/>
        <w:numPr>
          <w:ilvl w:val="0"/>
          <w:numId w:val="6"/>
        </w:numPr>
      </w:pPr>
      <w:r>
        <w:rPr/>
        <w:t>The user should now be able to log in to the META-SHARE portal as described in the User Manual and have the permissions required to add and edit LRs as described below.</w:t>
      </w:r>
    </w:p>
    <w:p>
      <w:pPr>
        <w:pStyle w:val="style0"/>
      </w:pPr>
      <w:r>
        <w:rPr/>
      </w:r>
    </w:p>
    <w:p>
      <w:pPr>
        <w:pStyle w:val="style2"/>
        <w:numPr>
          <w:ilvl w:val="1"/>
          <w:numId w:val="2"/>
        </w:numPr>
      </w:pPr>
      <w:bookmarkStart w:id="11" w:name="__RefHeading__738_909125252"/>
      <w:bookmarkStart w:id="12" w:name="_Toc304817623"/>
      <w:bookmarkEnd w:id="11"/>
      <w:bookmarkEnd w:id="12"/>
      <w:r>
        <w:rPr>
          <w:lang w:val="en-GB"/>
        </w:rPr>
        <w:t>Add a Language Resource</w:t>
      </w:r>
    </w:p>
    <w:p>
      <w:pPr>
        <w:pStyle w:val="style0"/>
        <w:jc w:val="both"/>
      </w:pPr>
      <w:r>
        <w:rPr/>
        <w:t>The provider can add a new LR by inserting the metadata that describes this LR. The provider must be registered and logged in so as to add new LRs, and then do as follows:</w:t>
      </w:r>
    </w:p>
    <w:p>
      <w:pPr>
        <w:pStyle w:val="style0"/>
        <w:numPr>
          <w:ilvl w:val="0"/>
          <w:numId w:val="5"/>
        </w:numPr>
        <w:jc w:val="both"/>
      </w:pPr>
      <w:r>
        <w:rPr/>
        <w:t>Click on the “Editor” button on the top right of the main page of META-SHARE.</w:t>
      </w:r>
    </w:p>
    <w:p>
      <w:pPr>
        <w:pStyle w:val="style0"/>
        <w:numPr>
          <w:ilvl w:val="0"/>
          <w:numId w:val="5"/>
        </w:numPr>
        <w:jc w:val="both"/>
      </w:pPr>
      <w:r>
        <w:rPr/>
        <w:t xml:space="preserve"> </w:t>
      </w:r>
      <w:r>
        <w:rPr/>
        <w:t>In the result page (</w:t>
      </w:r>
      <w:bookmarkStart w:id="13" w:name="site-name"/>
      <w:bookmarkEnd w:id="13"/>
      <w:r>
        <w:rPr/>
        <w:t>“META-SHARE backend for resource providers”), click on the “Share/Create” link at the top left (see Figure 1) . The result page presents a dropdown menu, listing all the availabl</w:t>
      </w:r>
      <w:r>
        <w:rPr/>
        <w:t xml:space="preserve">e resource types (corpus, lexical conceptual resource, language description, tool/service). </w:t>
      </w:r>
    </w:p>
    <w:p>
      <w:pPr>
        <w:pStyle w:val="style0"/>
        <w:jc w:val="both"/>
      </w:pPr>
      <w:r>
        <w:rPr/>
        <w:drawing>
          <wp:anchor allowOverlap="1" behindDoc="0" distB="0" distL="0" distR="0" distT="0" layoutInCell="1" locked="0" relativeHeight="0" simplePos="0">
            <wp:simplePos x="0" y="0"/>
            <wp:positionH relativeFrom="column">
              <wp:posOffset>114300</wp:posOffset>
            </wp:positionH>
            <wp:positionV relativeFrom="paragraph">
              <wp:posOffset>0</wp:posOffset>
            </wp:positionV>
            <wp:extent cx="5502910" cy="255397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5502910" cy="2553970"/>
                    </a:xfrm>
                    <a:prstGeom prst="rect">
                      <a:avLst/>
                    </a:prstGeom>
                    <a:noFill/>
                    <a:ln w="9525">
                      <a:noFill/>
                      <a:miter lim="800000"/>
                      <a:headEnd/>
                      <a:tailEnd/>
                    </a:ln>
                  </pic:spPr>
                </pic:pic>
              </a:graphicData>
            </a:graphic>
          </wp:anchor>
        </w:drawing>
      </w:r>
    </w:p>
    <w:p>
      <w:pPr>
        <w:pStyle w:val="style0"/>
        <w:jc w:val="center"/>
      </w:pPr>
      <w:r>
        <w:rPr>
          <w:b/>
          <w:bCs/>
          <w:color w:val="996633"/>
          <w:sz w:val="18"/>
          <w:szCs w:val="18"/>
        </w:rPr>
        <w:t>Figure 1:  META-SHARE backend for resource providers</w:t>
      </w:r>
    </w:p>
    <w:p>
      <w:pPr>
        <w:pStyle w:val="style0"/>
        <w:jc w:val="both"/>
      </w:pPr>
      <w:r>
        <w:rPr/>
      </w:r>
    </w:p>
    <w:p>
      <w:pPr>
        <w:pStyle w:val="style0"/>
        <w:numPr>
          <w:ilvl w:val="0"/>
          <w:numId w:val="5"/>
        </w:numPr>
        <w:jc w:val="both"/>
      </w:pPr>
      <w:r>
        <w:rPr/>
        <w:t xml:space="preserve">Choose a resource type for the LR. (A LR can only have one resource type). If your choice is “tool/service”, then click the “proceed” button. </w:t>
      </w:r>
    </w:p>
    <w:p>
      <w:pPr>
        <w:pStyle w:val="style0"/>
        <w:ind w:hanging="0" w:left="720" w:right="0"/>
        <w:jc w:val="both"/>
      </w:pPr>
      <w:r>
        <w:rPr/>
        <w:t>If your choice is one of the other three resource types, select from the list that appears, t</w:t>
      </w:r>
      <w:r>
        <w:rPr>
          <w:b w:val="false"/>
          <w:bCs w:val="false"/>
        </w:rPr>
        <w:t>he media type(s) for the LR.</w:t>
      </w:r>
    </w:p>
    <w:p>
      <w:pPr>
        <w:pStyle w:val="style0"/>
        <w:ind w:hanging="0" w:left="720" w:right="0"/>
        <w:jc w:val="both"/>
      </w:pPr>
      <w:r>
        <w:rPr>
          <w:b w:val="false"/>
          <w:bCs w:val="false"/>
        </w:rPr>
        <w:t xml:space="preserve">Note: In the case of “lexical conceptual resource” and “language description” resource types, “text” </w:t>
      </w:r>
      <w:r>
        <w:rPr>
          <w:rFonts w:cs="Georgia"/>
          <w:b w:val="false"/>
          <w:bCs w:val="false"/>
          <w:color w:val="00000A"/>
          <w:lang w:eastAsia="zh-CN" w:val="en-GB"/>
        </w:rPr>
        <w:t>is a required media type and, as such, it is selected by default.</w:t>
      </w:r>
    </w:p>
    <w:p>
      <w:pPr>
        <w:pStyle w:val="style0"/>
        <w:numPr>
          <w:ilvl w:val="0"/>
          <w:numId w:val="5"/>
        </w:numPr>
        <w:jc w:val="both"/>
      </w:pPr>
      <w:r>
        <w:rPr>
          <w:b w:val="false"/>
          <w:bCs w:val="false"/>
        </w:rPr>
        <w:t xml:space="preserve">Click on the “proceed” button. </w:t>
      </w:r>
    </w:p>
    <w:p>
      <w:pPr>
        <w:pStyle w:val="style0"/>
        <w:jc w:val="both"/>
      </w:pPr>
      <w:r>
        <w:rPr>
          <w:b w:val="false"/>
          <w:bCs w:val="false"/>
        </w:rPr>
        <w:t xml:space="preserve">In the result page, all the metadata information to be filled in, is summarized under a left hand side menu (see section 2.4 for the description of the metadata fields). On the top of this menu, there is the administrative information categorized as required, recommended (and optional). A click on any of these options, will lead in expanding the appropriate metadata block on the right hand side (see Figure 2). </w:t>
      </w:r>
    </w:p>
    <w:p>
      <w:pPr>
        <w:pStyle w:val="style0"/>
        <w:jc w:val="both"/>
      </w:pPr>
      <w:r>
        <w:rPr/>
      </w:r>
    </w:p>
    <w:p>
      <w:pPr>
        <w:pStyle w:val="style0"/>
        <w:jc w:val="both"/>
      </w:pPr>
      <w:r>
        <w:rPr/>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5731510" cy="260540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5731510" cy="2605405"/>
                    </a:xfrm>
                    <a:prstGeom prst="rect">
                      <a:avLst/>
                    </a:prstGeom>
                    <a:noFill/>
                    <a:ln w="9525">
                      <a:noFill/>
                      <a:miter lim="800000"/>
                      <a:headEnd/>
                      <a:tailEnd/>
                    </a:ln>
                  </pic:spPr>
                </pic:pic>
              </a:graphicData>
            </a:graphic>
          </wp:anchor>
        </w:drawing>
      </w:r>
    </w:p>
    <w:p>
      <w:pPr>
        <w:pStyle w:val="style0"/>
        <w:jc w:val="center"/>
      </w:pPr>
      <w:r>
        <w:rPr>
          <w:b/>
          <w:bCs/>
          <w:color w:val="996633"/>
          <w:sz w:val="18"/>
          <w:szCs w:val="18"/>
        </w:rPr>
        <w:t>Figure 2: Administrative Information metadata blocks</w:t>
      </w:r>
    </w:p>
    <w:p>
      <w:pPr>
        <w:pStyle w:val="style0"/>
        <w:jc w:val="both"/>
      </w:pPr>
      <w:r>
        <w:rPr/>
      </w:r>
    </w:p>
    <w:p>
      <w:pPr>
        <w:pStyle w:val="style0"/>
        <w:numPr>
          <w:ilvl w:val="0"/>
          <w:numId w:val="5"/>
        </w:numPr>
        <w:jc w:val="both"/>
      </w:pPr>
      <w:r>
        <w:rPr/>
        <w:t>Fill in the administrative metadata fields. (Only the required information is necessary for a LR to be successfully saved.)</w:t>
      </w:r>
    </w:p>
    <w:p>
      <w:pPr>
        <w:pStyle w:val="style0"/>
        <w:jc w:val="both"/>
      </w:pPr>
      <w:r>
        <w:rPr/>
        <w:t>On the same level of the left hand side menu as the administrative information, there are the resource-type-specific information. Clicking on one of these, will leed in ope</w:t>
      </w:r>
      <w:r>
        <w:rPr>
          <w:b w:val="false"/>
          <w:bCs w:val="false"/>
        </w:rPr>
        <w:t xml:space="preserve">ning a popup window, containing the blocks of metadata to be filled in (see Figure 3 for an example). These popup windows follow a similar menu structure </w:t>
      </w:r>
      <w:r>
        <w:rPr/>
        <w:t xml:space="preserve">(required/recommended/optional) as the main page. </w:t>
      </w:r>
    </w:p>
    <w:p>
      <w:pPr>
        <w:pStyle w:val="style0"/>
        <w:jc w:val="both"/>
      </w:pPr>
      <w:r>
        <w:rPr/>
      </w:r>
    </w:p>
    <w:p>
      <w:pPr>
        <w:pStyle w:val="style0"/>
        <w:jc w:val="center"/>
      </w:pPr>
      <w:r>
        <w:rPr>
          <w:b/>
          <w:bCs/>
          <w:color w:val="996633"/>
          <w:sz w:val="18"/>
          <w:szCs w:val="18"/>
        </w:rPr>
        <w:t>Figure 3: Resource-type-specific popup window</w:t>
        <w:drawing>
          <wp:anchor allowOverlap="1" behindDoc="0" distB="0" distL="0" distR="0" distT="0" layoutInCell="1" locked="0" relativeHeight="0" simplePos="0">
            <wp:simplePos x="0" y="0"/>
            <wp:positionH relativeFrom="column">
              <wp:posOffset>114300</wp:posOffset>
            </wp:positionH>
            <wp:positionV relativeFrom="paragraph">
              <wp:posOffset>0</wp:posOffset>
            </wp:positionV>
            <wp:extent cx="5502910" cy="253809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
                    <a:srcRect/>
                    <a:stretch>
                      <a:fillRect/>
                    </a:stretch>
                  </pic:blipFill>
                  <pic:spPr bwMode="auto">
                    <a:xfrm>
                      <a:off x="0" y="0"/>
                      <a:ext cx="5502910" cy="2538095"/>
                    </a:xfrm>
                    <a:prstGeom prst="rect">
                      <a:avLst/>
                    </a:prstGeom>
                    <a:noFill/>
                    <a:ln w="9525">
                      <a:noFill/>
                      <a:miter lim="800000"/>
                      <a:headEnd/>
                      <a:tailEnd/>
                    </a:ln>
                  </pic:spPr>
                </pic:pic>
              </a:graphicData>
            </a:graphic>
          </wp:anchor>
        </w:drawing>
      </w:r>
    </w:p>
    <w:p>
      <w:pPr>
        <w:pStyle w:val="style0"/>
        <w:jc w:val="center"/>
      </w:pPr>
      <w:r>
        <w:rPr/>
      </w:r>
    </w:p>
    <w:p>
      <w:pPr>
        <w:pStyle w:val="style0"/>
        <w:numPr>
          <w:ilvl w:val="0"/>
          <w:numId w:val="5"/>
        </w:numPr>
        <w:jc w:val="both"/>
      </w:pPr>
      <w:r>
        <w:rPr/>
        <w:t>For each one of the popups, fill in the metadata fields. (Again, only the required information is necessary for a LR to be successfully saved.) Once done with filling in information within a popup window, click on the “Save” button at the bottom of the page. In case of errors, a message will be displayed on the top of the page, the error will be reflected on the menu option and the problematic fields (i</w:t>
      </w:r>
      <w:r>
        <w:rPr>
          <w:rFonts w:cs="Georgia"/>
          <w:color w:val="00000A"/>
          <w:lang w:eastAsia="zh-CN" w:val="en-GB"/>
        </w:rPr>
        <w:t>.e</w:t>
      </w:r>
      <w:r>
        <w:rPr>
          <w:rFonts w:cs="Georgia"/>
          <w:b w:val="false"/>
          <w:bCs w:val="false"/>
          <w:color w:val="00000A"/>
          <w:lang w:eastAsia="zh-CN" w:val="en-GB"/>
        </w:rPr>
        <w:t>. fields</w:t>
      </w:r>
      <w:r>
        <w:rPr>
          <w:b w:val="false"/>
          <w:bCs w:val="false"/>
        </w:rPr>
        <w:t xml:space="preserve"> which either contain an error or are empty) will be highlighted in red (see Figure 4</w:t>
      </w:r>
      <w:r>
        <w:rPr/>
        <w:t xml:space="preserve"> for an example). If there are no errors, the “Save” button will close the popup window. </w:t>
      </w:r>
    </w:p>
    <w:p>
      <w:pPr>
        <w:pStyle w:val="style0"/>
        <w:jc w:val="center"/>
      </w:pPr>
      <w:bookmarkStart w:id="14" w:name="__DdeLink__1088_585140827"/>
      <w:bookmarkEnd w:id="14"/>
      <w:r>
        <w:rPr>
          <w:b/>
          <w:bCs/>
          <w:color w:val="996633"/>
          <w:sz w:val="18"/>
          <w:szCs w:val="18"/>
        </w:rPr>
        <w:t>Figure 4: Errors in popup window</w:t>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5731510" cy="265620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
                    <a:srcRect/>
                    <a:stretch>
                      <a:fillRect/>
                    </a:stretch>
                  </pic:blipFill>
                  <pic:spPr bwMode="auto">
                    <a:xfrm>
                      <a:off x="0" y="0"/>
                      <a:ext cx="5731510" cy="2656205"/>
                    </a:xfrm>
                    <a:prstGeom prst="rect">
                      <a:avLst/>
                    </a:prstGeom>
                    <a:noFill/>
                    <a:ln w="9525">
                      <a:noFill/>
                      <a:miter lim="800000"/>
                      <a:headEnd/>
                      <a:tailEnd/>
                    </a:ln>
                  </pic:spPr>
                </pic:pic>
              </a:graphicData>
            </a:graphic>
          </wp:anchor>
        </w:drawing>
      </w:r>
    </w:p>
    <w:p>
      <w:pPr>
        <w:pStyle w:val="style0"/>
        <w:jc w:val="both"/>
      </w:pPr>
      <w:r>
        <w:rPr/>
      </w:r>
    </w:p>
    <w:p>
      <w:pPr>
        <w:pStyle w:val="style0"/>
        <w:numPr>
          <w:ilvl w:val="0"/>
          <w:numId w:val="5"/>
        </w:numPr>
        <w:jc w:val="both"/>
      </w:pPr>
      <w:r>
        <w:rPr/>
        <w:t xml:space="preserve">Once done with filling in information both in the main page and in all the popup windows, click on the “Save” button at the bottom of the main page. If there are errors, they will be indicated in a similar way as in the popup windows (see </w:t>
      </w:r>
      <w:r>
        <w:rPr>
          <w:b/>
          <w:bCs/>
        </w:rPr>
        <w:t>Figure</w:t>
      </w:r>
      <w:r>
        <w:rPr/>
        <w:t xml:space="preserve"> 5 for an example). If there are no errors, clicking on “Save” will result in a new page, displaying the message “The Resource 'resource name' was added successfully”, and listing all the LRs added in META-SHARE, included the newly created one (see </w:t>
      </w:r>
      <w:r>
        <w:rPr>
          <w:b/>
          <w:bCs/>
        </w:rPr>
        <w:t>Figure</w:t>
      </w:r>
      <w:r>
        <w:rPr/>
        <w:t xml:space="preserve"> 6). </w:t>
      </w:r>
    </w:p>
    <w:p>
      <w:pPr>
        <w:pStyle w:val="style0"/>
        <w:jc w:val="center"/>
      </w:pPr>
      <w:r>
        <w:rPr/>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5731510" cy="264350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9"/>
                    <a:srcRect/>
                    <a:stretch>
                      <a:fillRect/>
                    </a:stretch>
                  </pic:blipFill>
                  <pic:spPr bwMode="auto">
                    <a:xfrm>
                      <a:off x="0" y="0"/>
                      <a:ext cx="5731510" cy="2643505"/>
                    </a:xfrm>
                    <a:prstGeom prst="rect">
                      <a:avLst/>
                    </a:prstGeom>
                    <a:noFill/>
                    <a:ln w="9525">
                      <a:noFill/>
                      <a:miter lim="800000"/>
                      <a:headEnd/>
                      <a:tailEnd/>
                    </a:ln>
                  </pic:spPr>
                </pic:pic>
              </a:graphicData>
            </a:graphic>
          </wp:anchor>
        </w:drawing>
      </w:r>
    </w:p>
    <w:p>
      <w:pPr>
        <w:pStyle w:val="style0"/>
        <w:jc w:val="center"/>
      </w:pPr>
      <w:r>
        <w:rPr>
          <w:b/>
          <w:bCs/>
          <w:color w:val="996633"/>
          <w:sz w:val="18"/>
          <w:szCs w:val="18"/>
        </w:rPr>
        <w:t>Figure 5: Errors in main window</w:t>
      </w:r>
    </w:p>
    <w:p>
      <w:pPr>
        <w:pStyle w:val="style0"/>
        <w:jc w:val="center"/>
      </w:pPr>
      <w:r>
        <w:rPr/>
      </w:r>
    </w:p>
    <w:p>
      <w:pPr>
        <w:pStyle w:val="style0"/>
      </w:pPr>
      <w:r>
        <w:rPr/>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5731510" cy="224726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0"/>
                    <a:srcRect/>
                    <a:stretch>
                      <a:fillRect/>
                    </a:stretch>
                  </pic:blipFill>
                  <pic:spPr bwMode="auto">
                    <a:xfrm>
                      <a:off x="0" y="0"/>
                      <a:ext cx="5731510" cy="2247265"/>
                    </a:xfrm>
                    <a:prstGeom prst="rect">
                      <a:avLst/>
                    </a:prstGeom>
                    <a:noFill/>
                    <a:ln w="9525">
                      <a:noFill/>
                      <a:miter lim="800000"/>
                      <a:headEnd/>
                      <a:tailEnd/>
                    </a:ln>
                  </pic:spPr>
                </pic:pic>
              </a:graphicData>
            </a:graphic>
          </wp:anchor>
        </w:drawing>
      </w:r>
    </w:p>
    <w:p>
      <w:pPr>
        <w:pStyle w:val="style0"/>
        <w:jc w:val="center"/>
      </w:pPr>
      <w:r>
        <w:rPr>
          <w:b/>
          <w:bCs/>
          <w:color w:val="996633"/>
          <w:sz w:val="18"/>
          <w:szCs w:val="18"/>
        </w:rPr>
        <w:t>Figure 6: Successfully saved LR</w:t>
      </w:r>
    </w:p>
    <w:p>
      <w:pPr>
        <w:pStyle w:val="style0"/>
      </w:pPr>
      <w:r>
        <w:rPr/>
      </w:r>
    </w:p>
    <w:p>
      <w:pPr>
        <w:pStyle w:val="style2"/>
        <w:numPr>
          <w:ilvl w:val="1"/>
          <w:numId w:val="2"/>
        </w:numPr>
      </w:pPr>
      <w:bookmarkStart w:id="15" w:name="__RefHeading__740_909125252"/>
      <w:bookmarkStart w:id="16" w:name="_Toc304817624"/>
      <w:bookmarkEnd w:id="15"/>
      <w:bookmarkEnd w:id="16"/>
      <w:r>
        <w:rPr/>
        <w:t>Manage Language Resources</w:t>
      </w:r>
    </w:p>
    <w:p>
      <w:pPr>
        <w:pStyle w:val="style0"/>
        <w:jc w:val="both"/>
      </w:pPr>
      <w:r>
        <w:rPr/>
        <w:t>The provider can rview, edit, delete and publish/unpublish/ingest all the resources he has provided in META-SHARE.  The</w:t>
      </w:r>
      <w:r>
        <w:rPr>
          <w:rFonts w:cs="Georgia" w:eastAsia="Georgia"/>
        </w:rPr>
        <w:t xml:space="preserve"> </w:t>
      </w:r>
      <w:r>
        <w:rPr/>
        <w:t>user</w:t>
      </w:r>
      <w:r>
        <w:rPr>
          <w:rFonts w:cs="Georgia" w:eastAsia="Georgia"/>
        </w:rPr>
        <w:t xml:space="preserve"> </w:t>
      </w:r>
      <w:r>
        <w:rPr/>
        <w:t>can</w:t>
      </w:r>
      <w:r>
        <w:rPr>
          <w:rFonts w:cs="Georgia" w:eastAsia="Georgia"/>
        </w:rPr>
        <w:t xml:space="preserve"> access the management page for his LRs by clicking on the “My Resources” link at the top left  of the </w:t>
      </w:r>
      <w:r>
        <w:rPr/>
        <w:t xml:space="preserve">“META-SHARE backend for resource providers” page. The result page will list all the provider's </w:t>
      </w:r>
      <w:r>
        <w:rPr>
          <w:rFonts w:cs="Georgia" w:eastAsia="Georgia"/>
        </w:rPr>
        <w:t>LRs</w:t>
      </w:r>
      <w:r>
        <w:rPr/>
        <w:t>.</w:t>
      </w:r>
    </w:p>
    <w:p>
      <w:pPr>
        <w:pStyle w:val="style0"/>
        <w:jc w:val="both"/>
      </w:pPr>
      <w:r>
        <w:rPr/>
        <w:t xml:space="preserve">The provider an action from the dropdown menu of actions (delete/publish/unpublish/ingest) and then select </w:t>
      </w:r>
      <w:r>
        <w:rPr>
          <w:rFonts w:cs="Georgia" w:eastAsia="Georgia"/>
        </w:rPr>
        <w:t xml:space="preserve">the LR(s) he wants to apply this action </w:t>
      </w:r>
      <w:r>
        <w:rPr/>
        <w:t>to. Clicking on “Go button” will execute the selected action.</w:t>
      </w:r>
    </w:p>
    <w:p>
      <w:pPr>
        <w:pStyle w:val="style0"/>
        <w:jc w:val="both"/>
      </w:pPr>
      <w:r>
        <w:rPr/>
        <w:t xml:space="preserve">If the provider wishes to edit a LR, he can click on its name. This will result in a page where he can edit all the metadata fields for this resource, in exactly the same way as described in section 2.2. </w:t>
      </w:r>
    </w:p>
    <w:p>
      <w:pPr>
        <w:pStyle w:val="style0"/>
        <w:jc w:val="both"/>
      </w:pPr>
      <w:r>
        <w:rPr/>
      </w:r>
    </w:p>
    <w:p>
      <w:pPr>
        <w:pStyle w:val="style2"/>
        <w:numPr>
          <w:ilvl w:val="1"/>
          <w:numId w:val="2"/>
        </w:numPr>
      </w:pPr>
      <w:bookmarkStart w:id="17" w:name="__RefHeading__742_909125252"/>
      <w:bookmarkStart w:id="18" w:name="_Toc304817625"/>
      <w:bookmarkEnd w:id="17"/>
      <w:bookmarkEnd w:id="18"/>
      <w:r>
        <w:rPr>
          <w:lang w:val="en-GB"/>
        </w:rPr>
        <w:t>Add and change metadata information</w:t>
      </w:r>
    </w:p>
    <w:p>
      <w:pPr>
        <w:pStyle w:val="style0"/>
        <w:jc w:val="both"/>
      </w:pPr>
      <w:r>
        <w:rPr/>
        <w:t>Metadata information are organised in two levels, the first being Administrative / Type-specific, and the second being required / recommended / optional.</w:t>
      </w:r>
    </w:p>
    <w:p>
      <w:pPr>
        <w:pStyle w:val="style0"/>
        <w:jc w:val="both"/>
      </w:pPr>
      <w:r>
        <w:rPr/>
        <w:t>The tabbed menu described in section 2.2 is making the two levels clear to the provider. A description of the metadata fields is following:</w:t>
      </w:r>
    </w:p>
    <w:p>
      <w:pPr>
        <w:pStyle w:val="style0"/>
        <w:numPr>
          <w:ilvl w:val="1"/>
          <w:numId w:val="3"/>
        </w:numPr>
        <w:jc w:val="both"/>
      </w:pPr>
      <w:r>
        <w:rPr/>
        <w:t>Content: Information on the content of the resource;</w:t>
      </w:r>
    </w:p>
    <w:p>
      <w:pPr>
        <w:pStyle w:val="style0"/>
        <w:numPr>
          <w:ilvl w:val="1"/>
          <w:numId w:val="3"/>
        </w:numPr>
        <w:jc w:val="both"/>
      </w:pPr>
      <w:r>
        <w:rPr/>
        <w:t>Identification: Information needed to identify the resource;</w:t>
      </w:r>
    </w:p>
    <w:p>
      <w:pPr>
        <w:pStyle w:val="style0"/>
        <w:numPr>
          <w:ilvl w:val="1"/>
          <w:numId w:val="3"/>
        </w:numPr>
        <w:jc w:val="both"/>
      </w:pPr>
      <w:r>
        <w:rPr/>
        <w:t>Metadata: Information on the metadata record itself;</w:t>
      </w:r>
    </w:p>
    <w:p>
      <w:pPr>
        <w:pStyle w:val="style0"/>
        <w:numPr>
          <w:ilvl w:val="1"/>
          <w:numId w:val="3"/>
        </w:numPr>
        <w:jc w:val="both"/>
      </w:pPr>
      <w:r>
        <w:rPr/>
        <w:t>Distribution: Information on the distribution of the resource;</w:t>
      </w:r>
    </w:p>
    <w:p>
      <w:pPr>
        <w:pStyle w:val="style0"/>
        <w:numPr>
          <w:ilvl w:val="1"/>
          <w:numId w:val="3"/>
        </w:numPr>
        <w:jc w:val="both"/>
      </w:pPr>
      <w:r>
        <w:rPr/>
        <w:t>Person: Information on the contact person of a resource;</w:t>
      </w:r>
    </w:p>
    <w:p>
      <w:pPr>
        <w:pStyle w:val="style0"/>
        <w:numPr>
          <w:ilvl w:val="1"/>
          <w:numId w:val="3"/>
        </w:numPr>
        <w:jc w:val="both"/>
      </w:pPr>
      <w:r>
        <w:rPr/>
        <w:t>Usage: Information on usage (both intended and actual use);</w:t>
      </w:r>
    </w:p>
    <w:p>
      <w:pPr>
        <w:pStyle w:val="style0"/>
        <w:numPr>
          <w:ilvl w:val="1"/>
          <w:numId w:val="3"/>
        </w:numPr>
        <w:jc w:val="both"/>
      </w:pPr>
      <w:r>
        <w:rPr/>
        <w:t>Version: Information on version/release of the resource;</w:t>
      </w:r>
    </w:p>
    <w:p>
      <w:pPr>
        <w:pStyle w:val="style0"/>
        <w:numPr>
          <w:ilvl w:val="1"/>
          <w:numId w:val="3"/>
        </w:numPr>
        <w:jc w:val="both"/>
      </w:pPr>
      <w:r>
        <w:rPr/>
        <w:t>ResourceCreation: Information on the creation procedure, tools, etc. of a resource;</w:t>
      </w:r>
    </w:p>
    <w:p>
      <w:pPr>
        <w:pStyle w:val="style0"/>
        <w:numPr>
          <w:ilvl w:val="1"/>
          <w:numId w:val="3"/>
        </w:numPr>
        <w:jc w:val="both"/>
      </w:pPr>
      <w:r>
        <w:rPr>
          <w:lang w:val="fr-FR"/>
        </w:rPr>
        <w:t>ResourceDocumentation: Information on relevant documentation (papers, etc.) of the resource;</w:t>
      </w:r>
    </w:p>
    <w:p>
      <w:pPr>
        <w:pStyle w:val="style0"/>
        <w:numPr>
          <w:ilvl w:val="1"/>
          <w:numId w:val="3"/>
        </w:numPr>
        <w:jc w:val="both"/>
      </w:pPr>
      <w:r>
        <w:rPr/>
        <w:t>LexicalConceptualResource: Information specific to lexical/conceptual resources, such as the type of lexical/conceptual resource (word list, thesaurus, ontology, etc.) as well as further details about the creation of the resource;</w:t>
      </w:r>
    </w:p>
    <w:p>
      <w:pPr>
        <w:pStyle w:val="style0"/>
        <w:numPr>
          <w:ilvl w:val="1"/>
          <w:numId w:val="3"/>
        </w:numPr>
        <w:jc w:val="both"/>
      </w:pPr>
      <w:r>
        <w:rPr/>
        <w:t>Text: Information on the text component of a corpus/resource, such as the language, the text format, the encoding or the annotation;</w:t>
      </w:r>
    </w:p>
    <w:p>
      <w:pPr>
        <w:pStyle w:val="style0"/>
        <w:numPr>
          <w:ilvl w:val="1"/>
          <w:numId w:val="3"/>
        </w:numPr>
        <w:jc w:val="both"/>
      </w:pPr>
      <w:r>
        <w:rPr/>
        <w:t>Validation: Information on the validation of a resource.</w:t>
      </w:r>
    </w:p>
    <w:p>
      <w:pPr>
        <w:pStyle w:val="style0"/>
        <w:jc w:val="both"/>
      </w:pPr>
      <w:r>
        <w:rPr/>
      </w:r>
    </w:p>
    <w:p>
      <w:pPr>
        <w:pStyle w:val="style0"/>
        <w:jc w:val="both"/>
      </w:pPr>
      <w:r>
        <w:rPr/>
        <w:t>In order to insert or modify metadata, the provider has an access to different kinds of fields:</w:t>
      </w:r>
    </w:p>
    <w:p>
      <w:pPr>
        <w:pStyle w:val="style0"/>
        <w:numPr>
          <w:ilvl w:val="0"/>
          <w:numId w:val="4"/>
        </w:numPr>
        <w:jc w:val="both"/>
      </w:pPr>
      <w:r>
        <w:rPr/>
        <w:t>Text field: the provider may add/modify free text that corresponds to the description of the metadata elements;</w:t>
      </w:r>
    </w:p>
    <w:p>
      <w:pPr>
        <w:pStyle w:val="style0"/>
        <w:numPr>
          <w:ilvl w:val="0"/>
          <w:numId w:val="4"/>
        </w:numPr>
        <w:jc w:val="both"/>
      </w:pPr>
      <w:r>
        <w:rPr/>
        <w:t>Drop-down list box: the provider may choose one item from the list provided;</w:t>
      </w:r>
    </w:p>
    <w:p>
      <w:pPr>
        <w:pStyle w:val="style0"/>
        <w:numPr>
          <w:ilvl w:val="0"/>
          <w:numId w:val="4"/>
        </w:numPr>
        <w:jc w:val="both"/>
      </w:pPr>
      <w:r>
        <w:rPr/>
        <w:t>Multiple-choice Drop-down list box: the provider may chose one or several items from the list provided;</w:t>
      </w:r>
    </w:p>
    <w:p>
      <w:pPr>
        <w:pStyle w:val="style0"/>
        <w:numPr>
          <w:ilvl w:val="0"/>
          <w:numId w:val="4"/>
        </w:numPr>
        <w:jc w:val="both"/>
      </w:pPr>
      <w:r>
        <w:rPr/>
        <w:t>Repeatable text field: the provider may add or delete all the text field he/she wants to by clicking on the “+” or “–“ buttons, respectively.</w:t>
      </w:r>
    </w:p>
    <w:p>
      <w:pPr>
        <w:pStyle w:val="style0"/>
        <w:ind w:hanging="0" w:left="360" w:right="0"/>
        <w:jc w:val="both"/>
      </w:pPr>
      <w:r>
        <w:rPr/>
      </w:r>
    </w:p>
    <w:p>
      <w:pPr>
        <w:pStyle w:val="style2"/>
        <w:numPr>
          <w:ilvl w:val="1"/>
          <w:numId w:val="2"/>
        </w:numPr>
      </w:pPr>
      <w:bookmarkStart w:id="19" w:name="__RefHeading__744_909125252"/>
      <w:bookmarkStart w:id="20" w:name="_Toc304817626"/>
      <w:bookmarkEnd w:id="19"/>
      <w:bookmarkEnd w:id="20"/>
      <w:r>
        <w:rPr>
          <w:lang w:val="en-GB"/>
        </w:rPr>
        <w:t>Import Language Resources</w:t>
      </w:r>
    </w:p>
    <w:p>
      <w:pPr>
        <w:pStyle w:val="style3"/>
        <w:numPr>
          <w:ilvl w:val="2"/>
          <w:numId w:val="2"/>
        </w:numPr>
      </w:pPr>
      <w:bookmarkStart w:id="21" w:name="__RefHeading__746_909125252"/>
      <w:bookmarkStart w:id="22" w:name="_Toc304817627"/>
      <w:bookmarkEnd w:id="21"/>
      <w:bookmarkEnd w:id="22"/>
      <w:r>
        <w:rPr/>
        <w:t>Prepare the import file</w:t>
      </w:r>
    </w:p>
    <w:p>
      <w:pPr>
        <w:pStyle w:val="style0"/>
        <w:jc w:val="both"/>
      </w:pPr>
      <w:r>
        <w:rPr/>
        <w:t xml:space="preserve">To be able to import new LRs, the provider must create XML files for each LR that follow the META-SHARE metadata. This compliance can be validated using the META-NET XML schema (XSD), the current version being under the </w:t>
      </w:r>
      <w:r>
        <w:rPr>
          <w:rStyle w:val="style52"/>
        </w:rPr>
        <w:t>misc/schema/v2.0</w:t>
      </w:r>
      <w:r>
        <w:rPr/>
        <w:t xml:space="preserve"> folder.</w:t>
      </w:r>
    </w:p>
    <w:p>
      <w:pPr>
        <w:pStyle w:val="style3"/>
        <w:numPr>
          <w:ilvl w:val="2"/>
          <w:numId w:val="2"/>
        </w:numPr>
      </w:pPr>
      <w:bookmarkStart w:id="23" w:name="__RefHeading__748_909125252"/>
      <w:bookmarkStart w:id="24" w:name="_Toc304817628"/>
      <w:bookmarkEnd w:id="23"/>
      <w:bookmarkEnd w:id="24"/>
      <w:r>
        <w:rPr/>
        <w:t>Upload/Import in META-SHARE</w:t>
      </w:r>
    </w:p>
    <w:p>
      <w:pPr>
        <w:pStyle w:val="style67"/>
      </w:pPr>
      <w:r>
        <w:rPr/>
        <w:t xml:space="preserve">A provider can upload an XML metadata file </w:t>
      </w:r>
      <w:r>
        <w:rPr>
          <w:rFonts w:cs="Georgia" w:eastAsia="Georgia"/>
        </w:rPr>
        <w:t xml:space="preserve">by clicking on the “Upload” link at the top left  of the </w:t>
      </w:r>
      <w:r>
        <w:rPr/>
        <w:t>“META-SHARE backend for resource providers” page. Uploading works as follows:</w:t>
      </w:r>
    </w:p>
    <w:p>
      <w:pPr>
        <w:pStyle w:val="style67"/>
        <w:numPr>
          <w:ilvl w:val="0"/>
          <w:numId w:val="11"/>
        </w:numPr>
        <w:tabs>
          <w:tab w:leader="none" w:pos="0" w:val="left"/>
        </w:tabs>
        <w:spacing w:after="0" w:before="0"/>
      </w:pPr>
      <w:r>
        <w:rPr>
          <w:rFonts w:cs="Georgia" w:eastAsia="Georgia"/>
        </w:rPr>
        <w:t>Choose a file by clicking on the “Browse button”</w:t>
      </w:r>
    </w:p>
    <w:p>
      <w:pPr>
        <w:pStyle w:val="style67"/>
        <w:numPr>
          <w:ilvl w:val="0"/>
          <w:numId w:val="11"/>
        </w:numPr>
        <w:tabs>
          <w:tab w:leader="none" w:pos="0" w:val="left"/>
        </w:tabs>
        <w:spacing w:after="0" w:before="0"/>
      </w:pPr>
      <w:r>
        <w:rPr>
          <w:rFonts w:cs="Georgia" w:eastAsia="Georgia"/>
        </w:rPr>
        <w:t>Click on “Upload Terms” checkbox to accept them.</w:t>
      </w:r>
    </w:p>
    <w:p>
      <w:pPr>
        <w:pStyle w:val="style67"/>
        <w:numPr>
          <w:ilvl w:val="0"/>
          <w:numId w:val="11"/>
        </w:numPr>
        <w:tabs>
          <w:tab w:leader="none" w:pos="0" w:val="left"/>
        </w:tabs>
      </w:pPr>
      <w:r>
        <w:rPr>
          <w:rFonts w:cs="Georgia" w:eastAsia="Georgia"/>
        </w:rPr>
        <w:t>Click on the “Upload” button.</w:t>
      </w:r>
    </w:p>
    <w:p>
      <w:pPr>
        <w:pStyle w:val="style67"/>
        <w:tabs>
          <w:tab w:leader="none" w:pos="0" w:val="left"/>
        </w:tabs>
      </w:pPr>
      <w:r>
        <w:rPr/>
      </w:r>
    </w:p>
    <w:p>
      <w:pPr>
        <w:pStyle w:val="style67"/>
      </w:pPr>
      <w:r>
        <w:rPr/>
        <w:t xml:space="preserve"> </w:t>
      </w:r>
      <w:r>
        <w:rPr/>
        <w:t>Importing XML metadata is also performed from the command line. It describes the import of existing LRs, but the process is the same for LRs converted from different representations as described below.</w:t>
      </w:r>
    </w:p>
    <w:p>
      <w:pPr>
        <w:pStyle w:val="style4"/>
        <w:numPr>
          <w:ilvl w:val="3"/>
          <w:numId w:val="2"/>
        </w:numPr>
      </w:pPr>
      <w:r>
        <w:rPr/>
        <w:t>Import script</w:t>
      </w:r>
    </w:p>
    <w:p>
      <w:pPr>
        <w:pStyle w:val="style0"/>
      </w:pPr>
      <w:r>
        <w:rPr/>
        <w:t xml:space="preserve">Importing of resources is possible using </w:t>
      </w:r>
      <w:r>
        <w:rPr>
          <w:rStyle w:val="style52"/>
        </w:rPr>
        <w:t>import_xml.py</w:t>
      </w:r>
      <w:r>
        <w:rPr/>
        <w:t xml:space="preserve"> which can be found within the </w:t>
      </w:r>
      <w:bookmarkStart w:id="25" w:name="__DdeLink__933_77382091"/>
      <w:r>
        <w:rPr>
          <w:rStyle w:val="style52"/>
        </w:rPr>
        <w:t>metashare</w:t>
      </w:r>
      <w:bookmarkEnd w:id="25"/>
      <w:r>
        <w:rPr/>
        <w:t xml:space="preserve"> installation folder.</w:t>
        <w:br/>
        <w:t>Basic usage information is given when called without any arguments:</w:t>
      </w:r>
    </w:p>
    <w:p>
      <w:pPr>
        <w:pStyle w:val="style98"/>
        <w:ind w:hanging="0" w:left="720" w:right="0"/>
      </w:pPr>
      <w:r>
        <w:rPr>
          <w:lang w:val="en-GB"/>
        </w:rPr>
        <w:t>$ python import_xml.py</w:t>
      </w:r>
    </w:p>
    <w:p>
      <w:pPr>
        <w:pStyle w:val="style98"/>
        <w:ind w:hanging="0" w:left="720" w:right="0"/>
      </w:pPr>
      <w:r>
        <w:rPr>
          <w:lang w:val="en-GB"/>
        </w:rPr>
        <w:t>usage: import_xml.py &lt;file.xml|archive.zip&gt; \</w:t>
      </w:r>
    </w:p>
    <w:p>
      <w:pPr>
        <w:pStyle w:val="style98"/>
        <w:ind w:hanging="0" w:left="720" w:right="0"/>
      </w:pPr>
      <w:r>
        <w:rPr>
          <w:lang w:val="en-GB"/>
        </w:rPr>
        <w:t xml:space="preserve"> </w:t>
      </w:r>
      <w:r>
        <w:rPr>
          <w:lang w:val="en-GB"/>
        </w:rPr>
        <w:tab/>
        <w:t xml:space="preserve">  [&lt;file.xml|archive.zip&gt; ...]  </w:t>
      </w:r>
    </w:p>
    <w:p>
      <w:pPr>
        <w:pStyle w:val="style98"/>
      </w:pPr>
      <w:r>
        <w:rPr/>
      </w:r>
    </w:p>
    <w:p>
      <w:pPr>
        <w:pStyle w:val="style0"/>
      </w:pPr>
      <w:r>
        <w:rPr/>
        <w:t xml:space="preserve">The script reports errors and gives import statistics when finished. </w:t>
      </w:r>
    </w:p>
    <w:p>
      <w:pPr>
        <w:pStyle w:val="style0"/>
      </w:pPr>
      <w:r>
        <w:rPr/>
        <w:t>A single xml file can be imported as follows:</w:t>
      </w:r>
    </w:p>
    <w:p>
      <w:pPr>
        <w:pStyle w:val="style98"/>
        <w:ind w:hanging="0" w:left="720" w:right="0"/>
      </w:pPr>
      <w:r>
        <w:rPr>
          <w:lang w:val="en-GB"/>
        </w:rPr>
        <w:t>$ python import_xml.py my_LR.xml</w:t>
      </w:r>
    </w:p>
    <w:p>
      <w:pPr>
        <w:pStyle w:val="style0"/>
        <w:tabs>
          <w:tab w:leader="none" w:pos="1440" w:val="left"/>
          <w:tab w:leader="none" w:pos="2160" w:val="left"/>
          <w:tab w:leader="none" w:pos="3076" w:val="left"/>
          <w:tab w:leader="none" w:pos="3992" w:val="left"/>
          <w:tab w:leader="none" w:pos="4908" w:val="left"/>
          <w:tab w:leader="none" w:pos="5824" w:val="left"/>
          <w:tab w:leader="none" w:pos="6740" w:val="left"/>
          <w:tab w:leader="none" w:pos="7656" w:val="left"/>
          <w:tab w:leader="none" w:pos="8572" w:val="left"/>
          <w:tab w:leader="none" w:pos="9488" w:val="left"/>
          <w:tab w:leader="none" w:pos="10404" w:val="left"/>
          <w:tab w:leader="none" w:pos="11320" w:val="left"/>
          <w:tab w:leader="none" w:pos="12236" w:val="left"/>
          <w:tab w:leader="none" w:pos="13152" w:val="left"/>
          <w:tab w:leader="none" w:pos="14068" w:val="left"/>
          <w:tab w:leader="none" w:pos="14984" w:val="left"/>
          <w:tab w:leader="none" w:pos="15900" w:val="left"/>
          <w:tab w:leader="none" w:pos="16816" w:val="left"/>
        </w:tabs>
        <w:spacing w:after="2" w:before="2" w:line="100" w:lineRule="atLeast"/>
        <w:ind w:hanging="0" w:left="720" w:right="0"/>
      </w:pPr>
      <w:r>
        <w:rPr>
          <w:rFonts w:ascii="Courier" w:cs="Courier" w:hAnsi="Courier"/>
          <w:sz w:val="20"/>
          <w:szCs w:val="20"/>
          <w:lang w:eastAsia="de-DE"/>
        </w:rPr>
        <w:t>Done.  Successfully imported 1 files into the database, \</w:t>
      </w:r>
    </w:p>
    <w:p>
      <w:pPr>
        <w:pStyle w:val="style0"/>
        <w:tabs>
          <w:tab w:leader="none" w:pos="1440" w:val="left"/>
          <w:tab w:leader="none" w:pos="2160" w:val="left"/>
          <w:tab w:leader="none" w:pos="3076" w:val="left"/>
          <w:tab w:leader="none" w:pos="3992" w:val="left"/>
          <w:tab w:leader="none" w:pos="4908" w:val="left"/>
          <w:tab w:leader="none" w:pos="5824" w:val="left"/>
          <w:tab w:leader="none" w:pos="6740" w:val="left"/>
          <w:tab w:leader="none" w:pos="7656" w:val="left"/>
          <w:tab w:leader="none" w:pos="8572" w:val="left"/>
          <w:tab w:leader="none" w:pos="9488" w:val="left"/>
          <w:tab w:leader="none" w:pos="10404" w:val="left"/>
          <w:tab w:leader="none" w:pos="11320" w:val="left"/>
          <w:tab w:leader="none" w:pos="12236" w:val="left"/>
          <w:tab w:leader="none" w:pos="13152" w:val="left"/>
          <w:tab w:leader="none" w:pos="14068" w:val="left"/>
          <w:tab w:leader="none" w:pos="14984" w:val="left"/>
          <w:tab w:leader="none" w:pos="15900" w:val="left"/>
          <w:tab w:leader="none" w:pos="16816" w:val="left"/>
        </w:tabs>
        <w:spacing w:after="2" w:before="2" w:line="100" w:lineRule="atLeast"/>
        <w:ind w:hanging="0" w:left="720" w:right="0"/>
      </w:pPr>
      <w:r>
        <w:rPr>
          <w:rFonts w:ascii="Courier" w:cs="Courier" w:hAnsi="Courier"/>
          <w:sz w:val="20"/>
          <w:szCs w:val="20"/>
          <w:lang w:eastAsia="de-DE"/>
        </w:rPr>
        <w:t xml:space="preserve">   </w:t>
      </w:r>
      <w:r>
        <w:rPr>
          <w:rFonts w:ascii="Courier" w:cs="Courier" w:hAnsi="Courier"/>
          <w:sz w:val="20"/>
          <w:szCs w:val="20"/>
          <w:lang w:eastAsia="de-DE"/>
        </w:rPr>
        <w:t>errors occurred in 0 cases.</w:t>
      </w:r>
    </w:p>
    <w:p>
      <w:pPr>
        <w:pStyle w:val="style98"/>
        <w:ind w:hanging="0" w:left="720" w:right="0"/>
      </w:pPr>
      <w:r>
        <w:rPr/>
      </w:r>
    </w:p>
    <w:p>
      <w:pPr>
        <w:pStyle w:val="style0"/>
      </w:pPr>
      <w:r>
        <w:rPr/>
        <w:t>Multiple LRs can be imported using the “*” wildcard or by packaging the xml file  into a zip file:</w:t>
      </w:r>
    </w:p>
    <w:p>
      <w:pPr>
        <w:pStyle w:val="style98"/>
        <w:ind w:hanging="0" w:left="720" w:right="0"/>
      </w:pPr>
      <w:r>
        <w:rPr>
          <w:lang w:val="en-GB"/>
        </w:rPr>
        <w:t xml:space="preserve">$ python import_xml.py </w:t>
      </w:r>
      <w:r>
        <w:rPr>
          <w:rStyle w:val="style52"/>
          <w:lang w:val="en-GB"/>
        </w:rPr>
        <w:t>metashare-v1-resources.zip</w:t>
      </w:r>
    </w:p>
    <w:p>
      <w:pPr>
        <w:pStyle w:val="style0"/>
        <w:tabs>
          <w:tab w:leader="none" w:pos="1440" w:val="left"/>
          <w:tab w:leader="none" w:pos="2160" w:val="left"/>
          <w:tab w:leader="none" w:pos="3076" w:val="left"/>
          <w:tab w:leader="none" w:pos="3992" w:val="left"/>
          <w:tab w:leader="none" w:pos="4908" w:val="left"/>
          <w:tab w:leader="none" w:pos="5824" w:val="left"/>
          <w:tab w:leader="none" w:pos="6740" w:val="left"/>
          <w:tab w:leader="none" w:pos="7656" w:val="left"/>
          <w:tab w:leader="none" w:pos="8572" w:val="left"/>
          <w:tab w:leader="none" w:pos="9488" w:val="left"/>
          <w:tab w:leader="none" w:pos="10404" w:val="left"/>
          <w:tab w:leader="none" w:pos="11320" w:val="left"/>
          <w:tab w:leader="none" w:pos="12236" w:val="left"/>
          <w:tab w:leader="none" w:pos="13152" w:val="left"/>
          <w:tab w:leader="none" w:pos="14068" w:val="left"/>
          <w:tab w:leader="none" w:pos="14984" w:val="left"/>
          <w:tab w:leader="none" w:pos="15900" w:val="left"/>
          <w:tab w:leader="none" w:pos="16816" w:val="left"/>
        </w:tabs>
        <w:spacing w:after="2" w:before="2" w:line="100" w:lineRule="atLeast"/>
        <w:ind w:hanging="0" w:left="720" w:right="0"/>
      </w:pPr>
      <w:r>
        <w:rPr>
          <w:rFonts w:ascii="Courier" w:cs="Courier" w:hAnsi="Courier"/>
          <w:sz w:val="20"/>
          <w:szCs w:val="20"/>
          <w:lang w:eastAsia="de-DE"/>
        </w:rPr>
        <w:t>Done.  Successfully imported 1,277 files into the database, \</w:t>
      </w:r>
    </w:p>
    <w:p>
      <w:pPr>
        <w:pStyle w:val="style0"/>
        <w:tabs>
          <w:tab w:leader="none" w:pos="1440" w:val="left"/>
          <w:tab w:leader="none" w:pos="2160" w:val="left"/>
          <w:tab w:leader="none" w:pos="3076" w:val="left"/>
          <w:tab w:leader="none" w:pos="3992" w:val="left"/>
          <w:tab w:leader="none" w:pos="4908" w:val="left"/>
          <w:tab w:leader="none" w:pos="5824" w:val="left"/>
          <w:tab w:leader="none" w:pos="6740" w:val="left"/>
          <w:tab w:leader="none" w:pos="7656" w:val="left"/>
          <w:tab w:leader="none" w:pos="8572" w:val="left"/>
          <w:tab w:leader="none" w:pos="9488" w:val="left"/>
          <w:tab w:leader="none" w:pos="10404" w:val="left"/>
          <w:tab w:leader="none" w:pos="11320" w:val="left"/>
          <w:tab w:leader="none" w:pos="12236" w:val="left"/>
          <w:tab w:leader="none" w:pos="13152" w:val="left"/>
          <w:tab w:leader="none" w:pos="14068" w:val="left"/>
          <w:tab w:leader="none" w:pos="14984" w:val="left"/>
          <w:tab w:leader="none" w:pos="15900" w:val="left"/>
          <w:tab w:leader="none" w:pos="16816" w:val="left"/>
        </w:tabs>
        <w:spacing w:after="2" w:before="2" w:line="100" w:lineRule="atLeast"/>
        <w:ind w:hanging="0" w:left="720" w:right="0"/>
      </w:pPr>
      <w:r>
        <w:rPr>
          <w:rFonts w:ascii="Courier" w:cs="Courier" w:hAnsi="Courier"/>
          <w:sz w:val="20"/>
          <w:szCs w:val="20"/>
          <w:lang w:eastAsia="de-DE"/>
        </w:rPr>
        <w:t xml:space="preserve">   </w:t>
      </w:r>
      <w:r>
        <w:rPr>
          <w:rFonts w:ascii="Courier" w:cs="Courier" w:hAnsi="Courier"/>
          <w:sz w:val="20"/>
          <w:szCs w:val="20"/>
          <w:lang w:eastAsia="de-DE"/>
        </w:rPr>
        <w:t>errors occurred in 0 cases.</w:t>
      </w:r>
    </w:p>
    <w:p>
      <w:pPr>
        <w:pStyle w:val="style0"/>
      </w:pPr>
      <w:r>
        <w:rPr/>
        <w:t xml:space="preserve">Importing a large file takes some time; this is normal. </w:t>
      </w:r>
    </w:p>
    <w:p>
      <w:pPr>
        <w:pStyle w:val="style0"/>
      </w:pPr>
      <w:r>
        <w:rPr/>
      </w:r>
    </w:p>
    <w:p>
      <w:pPr>
        <w:pStyle w:val="style0"/>
      </w:pPr>
      <w:r>
        <w:rPr/>
        <w:t>After successful import of these files, you should have the new resources available from your META-SHARE node.</w:t>
        <w:br/>
        <w:t xml:space="preserve">The last line of the </w:t>
      </w:r>
      <w:r>
        <w:rPr>
          <w:rStyle w:val="style52"/>
        </w:rPr>
        <w:t>import_xml.py</w:t>
      </w:r>
      <w:r>
        <w:rPr/>
        <w:t xml:space="preserve"> output should report no errors.</w:t>
      </w:r>
    </w:p>
    <w:p>
      <w:pPr>
        <w:pStyle w:val="style3"/>
        <w:numPr>
          <w:ilvl w:val="2"/>
          <w:numId w:val="2"/>
        </w:numPr>
      </w:pPr>
      <w:bookmarkStart w:id="26" w:name="__RefHeading__750_909125252"/>
      <w:bookmarkStart w:id="27" w:name="_Toc304817629"/>
      <w:bookmarkEnd w:id="26"/>
      <w:bookmarkEnd w:id="27"/>
      <w:r>
        <w:rPr/>
        <w:t>Conversion of existing LRs</w:t>
      </w:r>
    </w:p>
    <w:p>
      <w:pPr>
        <w:pStyle w:val="style0"/>
        <w:jc w:val="both"/>
      </w:pPr>
      <w:r>
        <w:rPr/>
        <w:t>A tool has been specifically developed within META-NET to help providers convert their own LRs from a specific metadata model to the META-SHARE one. This tool can be found in the tools below the META-SHARE installation folder.</w:t>
      </w:r>
    </w:p>
    <w:p>
      <w:pPr>
        <w:pStyle w:val="style0"/>
        <w:jc w:val="both"/>
      </w:pPr>
      <w:r>
        <w:rPr/>
      </w:r>
    </w:p>
    <w:p>
      <w:pPr>
        <w:pStyle w:val="style0"/>
        <w:jc w:val="both"/>
      </w:pPr>
      <w:r>
        <w:rPr/>
        <w:t xml:space="preserve">The conversion of the existing LRs from several different schemata to META-SHARE schema has been made with xsl transformations. </w:t>
      </w:r>
    </w:p>
    <w:p>
      <w:pPr>
        <w:pStyle w:val="style0"/>
        <w:jc w:val="both"/>
      </w:pPr>
      <w:r>
        <w:rPr/>
        <w:t xml:space="preserve">First step was to map one by one all the elements of old schemata to the elements of META-SHARE schema. </w:t>
      </w:r>
    </w:p>
    <w:p>
      <w:pPr>
        <w:pStyle w:val="style0"/>
        <w:jc w:val="both"/>
      </w:pPr>
      <w:r>
        <w:rPr/>
        <w:t xml:space="preserve">In some cases the tool Altova-MapForce was used for the mapping between schemata and the production of the xsl files. </w:t>
      </w:r>
    </w:p>
    <w:p>
      <w:pPr>
        <w:pStyle w:val="style0"/>
        <w:jc w:val="both"/>
      </w:pPr>
      <w:r>
        <w:rPr/>
      </w:r>
    </w:p>
    <w:p>
      <w:pPr>
        <w:pStyle w:val="style2"/>
        <w:numPr>
          <w:ilvl w:val="1"/>
          <w:numId w:val="2"/>
        </w:numPr>
      </w:pPr>
      <w:bookmarkStart w:id="28" w:name="_Toc304817633"/>
      <w:bookmarkStart w:id="29" w:name="__RefHeading__758_909125252"/>
      <w:bookmarkEnd w:id="29"/>
      <w:r>
        <w:rPr/>
        <w:t>Add Downloads to Resources</w:t>
      </w:r>
      <w:bookmarkEnd w:id="28"/>
      <w:r>
        <w:rPr/>
        <w:t xml:space="preserve"> </w:t>
      </w:r>
    </w:p>
    <w:p>
      <w:pPr>
        <w:pStyle w:val="style0"/>
      </w:pPr>
      <w:r>
        <w:rPr/>
        <w:t xml:space="preserve">In previous versions of META-SHARE, we used the </w:t>
      </w:r>
      <w:r>
        <w:rPr>
          <w:rStyle w:val="style52"/>
        </w:rPr>
        <w:t>downloadLocation</w:t>
      </w:r>
      <w:r>
        <w:rPr/>
        <w:t xml:space="preserve"> attribute to encode the URL from which a resource could be downloaded. </w:t>
      </w:r>
    </w:p>
    <w:p>
      <w:pPr>
        <w:pStyle w:val="style0"/>
      </w:pPr>
      <w:r>
        <w:rPr/>
        <w:t xml:space="preserve">Due to the addition of a dedicated </w:t>
      </w:r>
      <w:r>
        <w:rPr>
          <w:i/>
          <w:iCs/>
        </w:rPr>
        <w:t>storage layer</w:t>
      </w:r>
      <w:r>
        <w:rPr/>
        <w:t xml:space="preserve">, the handling of downloads has changed. Each </w:t>
      </w:r>
      <w:r>
        <w:rPr>
          <w:rStyle w:val="style52"/>
        </w:rPr>
        <w:t>StorageObject</w:t>
      </w:r>
      <w:r>
        <w:rPr/>
        <w:t xml:space="preserve"> has a local folder attached to it which is used to store associated downloadable data. For version v1, only </w:t>
      </w:r>
      <w:r>
        <w:rPr>
          <w:i/>
          <w:iCs/>
        </w:rPr>
        <w:t>one</w:t>
      </w:r>
      <w:r>
        <w:rPr/>
        <w:t xml:space="preserve"> downloadable file can be attached to a resource; its name is fixed to </w:t>
      </w:r>
      <w:r>
        <w:rPr>
          <w:rStyle w:val="style52"/>
        </w:rPr>
        <w:t>archive.{'zip', 'tar.gz', 'gz', 'tgz', 'tar', 'bzip2'}</w:t>
      </w:r>
      <w:r>
        <w:rPr/>
        <w:t xml:space="preserve">. </w:t>
      </w:r>
    </w:p>
    <w:p>
      <w:pPr>
        <w:pStyle w:val="style3"/>
        <w:numPr>
          <w:ilvl w:val="2"/>
          <w:numId w:val="2"/>
        </w:numPr>
      </w:pPr>
      <w:bookmarkStart w:id="30" w:name="_Toc304817634"/>
      <w:bookmarkStart w:id="31" w:name="__RefHeading__760_909125252"/>
      <w:bookmarkEnd w:id="31"/>
      <w:r>
        <w:rPr/>
        <w:t>Adding a Download</w:t>
      </w:r>
      <w:bookmarkEnd w:id="30"/>
      <w:r>
        <w:rPr/>
        <w:t xml:space="preserve"> </w:t>
      </w:r>
    </w:p>
    <w:p>
      <w:pPr>
        <w:pStyle w:val="style0"/>
      </w:pPr>
      <w:r>
        <w:rPr/>
        <w:t xml:space="preserve">You can add a download to an existing resource by following these steps (in order, of course): </w:t>
      </w:r>
    </w:p>
    <w:p>
      <w:pPr>
        <w:pStyle w:val="style0"/>
        <w:numPr>
          <w:ilvl w:val="0"/>
          <w:numId w:val="7"/>
        </w:numPr>
        <w:spacing w:line="100" w:lineRule="atLeast"/>
      </w:pPr>
      <w:r>
        <w:rPr/>
        <w:t xml:space="preserve">Login as staff user </w:t>
      </w:r>
    </w:p>
    <w:p>
      <w:pPr>
        <w:pStyle w:val="style0"/>
        <w:numPr>
          <w:ilvl w:val="0"/>
          <w:numId w:val="8"/>
        </w:numPr>
        <w:spacing w:line="100" w:lineRule="atLeast"/>
      </w:pPr>
      <w:r>
        <w:rPr/>
        <w:t>Access the LR view, you should see the StorageObject's identifier on top (64-character hex String).</w:t>
        <w:br/>
        <w:t xml:space="preserve">We will refer to this id as </w:t>
      </w:r>
      <w:r>
        <w:rPr>
          <w:rStyle w:val="style52"/>
        </w:rPr>
        <w:t>YOUR_ID</w:t>
      </w:r>
      <w:r>
        <w:rPr/>
        <w:t xml:space="preserve"> in subsequent steps. </w:t>
      </w:r>
    </w:p>
    <w:p>
      <w:pPr>
        <w:pStyle w:val="style97"/>
        <w:keepNext/>
        <w:spacing w:after="2" w:before="2"/>
      </w:pPr>
      <w:r>
        <w:rPr/>
      </w:r>
    </w:p>
    <w:p>
      <w:pPr>
        <w:pStyle w:val="style74"/>
        <w:jc w:val="center"/>
      </w:pPr>
      <w:r>
        <w:rPr/>
      </w:r>
    </w:p>
    <w:p>
      <w:pPr>
        <w:pStyle w:val="style0"/>
      </w:pPr>
      <w:r>
        <w:rPr/>
      </w:r>
    </w:p>
    <w:p>
      <w:pPr>
        <w:pStyle w:val="style0"/>
        <w:numPr>
          <w:ilvl w:val="0"/>
          <w:numId w:val="9"/>
        </w:numPr>
        <w:spacing w:line="100" w:lineRule="atLeast"/>
      </w:pPr>
      <w:r>
        <w:rPr/>
        <w:t>Inside your META-SHARE folder, call</w:t>
      </w:r>
    </w:p>
    <w:p>
      <w:pPr>
        <w:pStyle w:val="style98"/>
        <w:ind w:hanging="0" w:left="720" w:right="0"/>
      </w:pPr>
      <w:r>
        <w:rPr/>
      </w:r>
    </w:p>
    <w:p>
      <w:pPr>
        <w:pStyle w:val="style98"/>
        <w:ind w:hanging="0" w:left="720" w:right="0"/>
      </w:pPr>
      <w:r>
        <w:rPr>
          <w:lang w:val="en-GB"/>
        </w:rPr>
        <w:t xml:space="preserve"> </w:t>
      </w:r>
      <w:r>
        <w:rPr>
          <w:lang w:val="en-GB"/>
        </w:rPr>
        <w:t xml:space="preserve">$ python storage_admin.py folder YOUR_ID </w:t>
      </w:r>
    </w:p>
    <w:p>
      <w:pPr>
        <w:pStyle w:val="style0"/>
        <w:spacing w:after="2" w:before="2"/>
        <w:ind w:hanging="0" w:left="720" w:right="0"/>
      </w:pPr>
      <w:r>
        <w:rPr/>
      </w:r>
    </w:p>
    <w:p>
      <w:pPr>
        <w:pStyle w:val="style0"/>
        <w:spacing w:after="2" w:before="2"/>
        <w:ind w:hanging="0" w:left="720" w:right="0"/>
      </w:pPr>
      <w:r>
        <w:rPr/>
        <w:t xml:space="preserve">This will print the storage folder path for the respective resource. </w:t>
      </w:r>
    </w:p>
    <w:p>
      <w:pPr>
        <w:pStyle w:val="style0"/>
        <w:numPr>
          <w:ilvl w:val="0"/>
          <w:numId w:val="10"/>
        </w:numPr>
        <w:spacing w:line="100" w:lineRule="atLeast"/>
      </w:pPr>
      <w:r>
        <w:rPr/>
        <w:t xml:space="preserve">Copy your archive to the storage folder and update the corresponding checksum using </w:t>
      </w:r>
    </w:p>
    <w:p>
      <w:pPr>
        <w:pStyle w:val="style98"/>
        <w:ind w:hanging="0" w:left="720" w:right="0"/>
      </w:pPr>
      <w:r>
        <w:rPr/>
      </w:r>
    </w:p>
    <w:p>
      <w:pPr>
        <w:pStyle w:val="style98"/>
        <w:ind w:hanging="0" w:left="720" w:right="0"/>
      </w:pPr>
      <w:r>
        <w:rPr>
          <w:lang w:val="en-GB"/>
        </w:rPr>
        <w:t xml:space="preserve">  </w:t>
      </w:r>
      <w:r>
        <w:rPr>
          <w:lang w:val="en-GB"/>
        </w:rPr>
        <w:t xml:space="preserve">$ python storage_admin.py checksum YOUR_ID </w:t>
      </w:r>
    </w:p>
    <w:p>
      <w:pPr>
        <w:pStyle w:val="style98"/>
        <w:ind w:hanging="0" w:left="720" w:right="0"/>
      </w:pPr>
      <w:r>
        <w:rPr/>
      </w:r>
    </w:p>
    <w:p>
      <w:pPr>
        <w:pStyle w:val="style0"/>
        <w:numPr>
          <w:ilvl w:val="0"/>
          <w:numId w:val="10"/>
        </w:numPr>
        <w:spacing w:line="100" w:lineRule="atLeast"/>
      </w:pPr>
      <w:r>
        <w:rPr/>
        <w:t xml:space="preserve">You should now see the Download button, even for non-staff users. </w:t>
      </w:r>
    </w:p>
    <w:p>
      <w:pPr>
        <w:pStyle w:val="style0"/>
        <w:spacing w:line="100" w:lineRule="atLeast"/>
        <w:ind w:hanging="0" w:left="360" w:right="0"/>
      </w:pPr>
      <w:r>
        <w:rPr/>
      </w:r>
    </w:p>
    <w:p>
      <w:pPr>
        <w:pStyle w:val="style0"/>
        <w:keepNext/>
        <w:spacing w:line="100" w:lineRule="atLeast"/>
      </w:pPr>
      <w:r>
        <w:rPr/>
      </w:r>
    </w:p>
    <w:p>
      <w:pPr>
        <w:pStyle w:val="style74"/>
        <w:spacing w:after="2" w:before="2"/>
        <w:jc w:val="center"/>
      </w:pPr>
      <w:r>
        <w:rPr/>
      </w:r>
    </w:p>
    <w:p>
      <w:pPr>
        <w:pStyle w:val="style3"/>
        <w:numPr>
          <w:ilvl w:val="2"/>
          <w:numId w:val="2"/>
        </w:numPr>
      </w:pPr>
      <w:bookmarkStart w:id="32" w:name="_Toc304817635"/>
      <w:bookmarkStart w:id="33" w:name="__RefHeading__762_909125252"/>
      <w:bookmarkEnd w:id="33"/>
      <w:r>
        <w:rPr/>
        <w:t>Known Limitations</w:t>
      </w:r>
      <w:bookmarkEnd w:id="32"/>
      <w:r>
        <w:rPr/>
        <w:t xml:space="preserve"> </w:t>
      </w:r>
    </w:p>
    <w:p>
      <w:pPr>
        <w:pStyle w:val="style0"/>
      </w:pPr>
      <w:r>
        <w:rPr/>
        <w:t xml:space="preserve">It is mandatory to follow the naming scheme. Make sure that your downloadable data is contained within </w:t>
      </w:r>
      <w:r>
        <w:rPr>
          <w:i/>
          <w:iCs/>
        </w:rPr>
        <w:t>one</w:t>
      </w:r>
      <w:r>
        <w:rPr/>
        <w:t xml:space="preserve"> archive file named </w:t>
      </w:r>
      <w:r>
        <w:rPr>
          <w:rStyle w:val="style52"/>
        </w:rPr>
        <w:t xml:space="preserve">archive.{'zip', 'tar.gz', 'gz', 'tgz', 'tar', 'bzip2'} </w:t>
      </w:r>
      <w:r>
        <w:rPr/>
        <w:t xml:space="preserve">. </w:t>
      </w:r>
    </w:p>
    <w:p>
      <w:pPr>
        <w:pStyle w:val="style0"/>
      </w:pPr>
      <w:r>
        <w:rPr/>
      </w:r>
    </w:p>
    <w:p>
      <w:pPr>
        <w:pStyle w:val="style0"/>
      </w:pPr>
      <w:r>
        <w:rPr/>
      </w:r>
    </w:p>
    <w:p>
      <w:pPr>
        <w:sectPr>
          <w:type w:val="continuous"/>
          <w:pgSz w:h="16838" w:w="11906"/>
          <w:pgMar w:bottom="1440" w:footer="708" w:gutter="0" w:header="708" w:left="1440" w:right="1440" w:top="1440"/>
          <w:formProt w:val="false"/>
          <w:textDirection w:val="lrTb"/>
          <w:docGrid w:charSpace="-2049" w:linePitch="360" w:type="default"/>
        </w:sectPr>
      </w:pPr>
    </w:p>
    <w:sectPr>
      <w:type w:val="continuous"/>
      <w:pgSz w:h="16838" w:w="11906"/>
      <w:pgMar w:bottom="1440" w:footer="708" w:gutter="0" w:header="708" w:left="1440" w:right="1440" w:top="1440"/>
      <w:pgNumType w:fmt="decimal"/>
      <w:formProt w:val="false"/>
      <w:textDirection w:val="lrTb"/>
      <w:docGrid w:charSpace="-2049"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variable"/>
  </w:font>
  <w:font w:name="Courier New">
    <w:charset w:val="80"/>
    <w:family w:val="modern"/>
    <w:pitch w:val="fixed"/>
  </w:font>
  <w:font w:name="Wingdings">
    <w:charset w:val="80"/>
    <w:family w:val="auto"/>
    <w:pitch w:val="default"/>
  </w:font>
  <w:font w:name="Wingdings 2">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73"/>
    </w:pPr>
    <w:r>
      <w:rPr/>
      <w:fldChar w:fldCharType="begin"/>
    </w:r>
    <w:r>
      <w:instrText> PAGE </w:instrText>
    </w:r>
    <w:r>
      <w:fldChar w:fldCharType="separate"/>
    </w:r>
    <w:r>
      <w:t>Page numbers</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72"/>
      <w:jc w:val="center"/>
    </w:pPr>
    <w:r>
      <w:rPr>
        <w:color w:val="000000"/>
        <w:sz w:val="16"/>
        <w:szCs w:val="16"/>
      </w:rPr>
      <w:t>This document is part of the Network of Excellence “Multilingual Europe Technology Alliance (META-NET)”,</w:t>
    </w:r>
  </w:p>
  <w:p>
    <w:pPr>
      <w:pStyle w:val="style72"/>
      <w:jc w:val="center"/>
    </w:pPr>
    <w:r>
      <w:rPr>
        <w:color w:val="000000"/>
        <w:sz w:val="16"/>
        <w:szCs w:val="16"/>
      </w:rPr>
      <w:t>co- funded by the 7th Framework Programme of the European Commission through the T4ME grant agreement no.: 249119.</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72"/>
      <w:tabs>
        <w:tab w:leader="none" w:pos="2580" w:val="left"/>
        <w:tab w:leader="none" w:pos="2985" w:val="left"/>
        <w:tab w:leader="none" w:pos="4513" w:val="center"/>
        <w:tab w:leader="none" w:pos="8100" w:val="left"/>
        <w:tab w:leader="none" w:pos="8720" w:val="left"/>
        <w:tab w:leader="none" w:pos="9026" w:val="right"/>
      </w:tabs>
      <w:spacing w:after="120" w:before="0"/>
    </w:pPr>
    <w:r>
      <w:rPr>
        <w:sz w:val="18"/>
        <w:szCs w:val="18"/>
        <w:lang w:eastAsia="de-DE" w:val="en-US"/>
      </w:rPr>
      <w:t>Technologies for the Multilingual European Information Society</w:t>
      <w:tab/>
      <w:tab/>
      <w:tab/>
    </w:r>
  </w:p>
  <w:p>
    <w:pPr>
      <w:pStyle w:val="style72"/>
      <w:tabs>
        <w:tab w:leader="none" w:pos="2580" w:val="left"/>
        <w:tab w:leader="none" w:pos="2985" w:val="left"/>
        <w:tab w:leader="none" w:pos="4513" w:val="center"/>
        <w:tab w:leader="none" w:pos="9026" w:val="right"/>
      </w:tabs>
      <w:spacing w:after="120" w:before="0"/>
    </w:pPr>
    <w:r>
      <w:rPr>
        <w:b/>
        <w:bCs/>
        <w:sz w:val="18"/>
        <w:szCs w:val="18"/>
      </w:rPr>
      <w:t>META-SHARE V 2 Provider Manual</w:t>
    </w:r>
  </w:p>
</w:hd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decimal"/>
      <w:lvlText w:val="%1."/>
      <w:lvlJc w:val="left"/>
      <w:pPr>
        <w:ind w:hanging="360" w:left="720"/>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o"/>
      <w:lvlJc w:val="left"/>
      <w:pPr>
        <w:tabs>
          <w:tab w:pos="1440" w:val="num"/>
        </w:tabs>
        <w:ind w:hanging="360" w:left="1440"/>
      </w:pPr>
      <w:rPr>
        <w:rFonts w:ascii="Courier New" w:cs="Courier New" w:hAnsi="Courier New" w:hint="default"/>
      </w:rPr>
    </w:lvl>
    <w:lvl w:ilvl="2">
      <w:start w:val="1"/>
      <w:numFmt w:val="bullet"/>
      <w:lvlText w:val=""/>
      <w:lvlJc w:val="left"/>
      <w:pPr>
        <w:tabs>
          <w:tab w:pos="2160" w:val="num"/>
        </w:tabs>
        <w:ind w:hanging="360" w:left="2160"/>
      </w:pPr>
      <w:rPr>
        <w:rFonts w:ascii="Wingdings" w:cs="Wingdings" w:hAnsi="Wingdings" w:hint="default"/>
      </w:rPr>
    </w:lvl>
    <w:lvl w:ilvl="3">
      <w:start w:val="1"/>
      <w:numFmt w:val="bullet"/>
      <w:lvlText w:val=""/>
      <w:lvlJc w:val="left"/>
      <w:pPr>
        <w:tabs>
          <w:tab w:pos="2880" w:val="num"/>
        </w:tabs>
        <w:ind w:hanging="360" w:left="2880"/>
      </w:pPr>
      <w:rPr>
        <w:rFonts w:ascii="Symbol" w:cs="Symbol" w:hAnsi="Symbol" w:hint="default"/>
      </w:rPr>
    </w:lvl>
    <w:lvl w:ilvl="4">
      <w:start w:val="1"/>
      <w:numFmt w:val="bullet"/>
      <w:lvlText w:val="o"/>
      <w:lvlJc w:val="left"/>
      <w:pPr>
        <w:tabs>
          <w:tab w:pos="3600" w:val="num"/>
        </w:tabs>
        <w:ind w:hanging="360" w:left="3600"/>
      </w:pPr>
      <w:rPr>
        <w:rFonts w:ascii="Courier New" w:cs="Courier New" w:hAnsi="Courier New" w:hint="default"/>
      </w:rPr>
    </w:lvl>
    <w:lvl w:ilvl="5">
      <w:start w:val="1"/>
      <w:numFmt w:val="bullet"/>
      <w:lvlText w:val=""/>
      <w:lvlJc w:val="left"/>
      <w:pPr>
        <w:tabs>
          <w:tab w:pos="4320" w:val="num"/>
        </w:tabs>
        <w:ind w:hanging="360" w:left="4320"/>
      </w:pPr>
      <w:rPr>
        <w:rFonts w:ascii="Wingdings" w:cs="Wingdings" w:hAnsi="Wingdings" w:hint="default"/>
      </w:rPr>
    </w:lvl>
    <w:lvl w:ilvl="6">
      <w:start w:val="1"/>
      <w:numFmt w:val="bullet"/>
      <w:lvlText w:val=""/>
      <w:lvlJc w:val="left"/>
      <w:pPr>
        <w:tabs>
          <w:tab w:pos="5040" w:val="num"/>
        </w:tabs>
        <w:ind w:hanging="360" w:left="5040"/>
      </w:pPr>
      <w:rPr>
        <w:rFonts w:ascii="Symbol" w:cs="Symbol" w:hAnsi="Symbol" w:hint="default"/>
      </w:rPr>
    </w:lvl>
    <w:lvl w:ilvl="7">
      <w:start w:val="1"/>
      <w:numFmt w:val="bullet"/>
      <w:lvlText w:val="o"/>
      <w:lvlJc w:val="left"/>
      <w:pPr>
        <w:tabs>
          <w:tab w:pos="5760" w:val="num"/>
        </w:tabs>
        <w:ind w:hanging="360" w:left="5760"/>
      </w:pPr>
      <w:rPr>
        <w:rFonts w:ascii="Courier New" w:cs="Courier New" w:hAnsi="Courier New" w:hint="default"/>
      </w:rPr>
    </w:lvl>
    <w:lvl w:ilvl="8">
      <w:start w:val="1"/>
      <w:numFmt w:val="bullet"/>
      <w:lvlText w:val=""/>
      <w:lvlJc w:val="left"/>
      <w:pPr>
        <w:tabs>
          <w:tab w:pos="6480" w:val="num"/>
        </w:tabs>
        <w:ind w:hanging="360" w:left="6480"/>
      </w:pPr>
      <w:rPr>
        <w:rFonts w:ascii="Wingdings" w:cs="Wingdings" w:hAnsi="Wingdings" w:hint="default"/>
      </w:rPr>
    </w:lvl>
  </w:abstractNum>
  <w:abstractNum w:abstractNumId="4">
    <w:lvl w:ilvl="0">
      <w:start w:val="1"/>
      <w:numFmt w:val="bullet"/>
      <w:lvlText w:val=""/>
      <w:lvlJc w:val="left"/>
      <w:pPr>
        <w:tabs>
          <w:tab w:pos="720" w:val="num"/>
        </w:tabs>
        <w:ind w:hanging="360" w:left="720"/>
      </w:pPr>
      <w:rPr>
        <w:rFonts w:ascii="Symbol" w:cs="Symbol" w:hAnsi="Symbol" w:hint="default"/>
      </w:rPr>
    </w:lvl>
    <w:lvl w:ilvl="1">
      <w:start w:val="1"/>
      <w:numFmt w:val="bullet"/>
      <w:lvlText w:val="o"/>
      <w:lvlJc w:val="left"/>
      <w:pPr>
        <w:tabs>
          <w:tab w:pos="1440" w:val="num"/>
        </w:tabs>
        <w:ind w:hanging="360" w:left="1440"/>
      </w:pPr>
      <w:rPr>
        <w:rFonts w:ascii="Courier New" w:cs="Courier New" w:hAnsi="Courier New" w:hint="default"/>
      </w:rPr>
    </w:lvl>
    <w:lvl w:ilvl="2">
      <w:start w:val="1"/>
      <w:numFmt w:val="bullet"/>
      <w:lvlText w:val=""/>
      <w:lvlJc w:val="left"/>
      <w:pPr>
        <w:tabs>
          <w:tab w:pos="2160" w:val="num"/>
        </w:tabs>
        <w:ind w:hanging="360" w:left="2160"/>
      </w:pPr>
      <w:rPr>
        <w:rFonts w:ascii="Wingdings" w:cs="Wingdings" w:hAnsi="Wingdings" w:hint="default"/>
      </w:rPr>
    </w:lvl>
    <w:lvl w:ilvl="3">
      <w:start w:val="1"/>
      <w:numFmt w:val="bullet"/>
      <w:lvlText w:val=""/>
      <w:lvlJc w:val="left"/>
      <w:pPr>
        <w:tabs>
          <w:tab w:pos="2880" w:val="num"/>
        </w:tabs>
        <w:ind w:hanging="360" w:left="2880"/>
      </w:pPr>
      <w:rPr>
        <w:rFonts w:ascii="Symbol" w:cs="Symbol" w:hAnsi="Symbol" w:hint="default"/>
      </w:rPr>
    </w:lvl>
    <w:lvl w:ilvl="4">
      <w:start w:val="1"/>
      <w:numFmt w:val="bullet"/>
      <w:lvlText w:val="o"/>
      <w:lvlJc w:val="left"/>
      <w:pPr>
        <w:tabs>
          <w:tab w:pos="3600" w:val="num"/>
        </w:tabs>
        <w:ind w:hanging="360" w:left="3600"/>
      </w:pPr>
      <w:rPr>
        <w:rFonts w:ascii="Courier New" w:cs="Courier New" w:hAnsi="Courier New" w:hint="default"/>
      </w:rPr>
    </w:lvl>
    <w:lvl w:ilvl="5">
      <w:start w:val="1"/>
      <w:numFmt w:val="bullet"/>
      <w:lvlText w:val=""/>
      <w:lvlJc w:val="left"/>
      <w:pPr>
        <w:tabs>
          <w:tab w:pos="4320" w:val="num"/>
        </w:tabs>
        <w:ind w:hanging="360" w:left="4320"/>
      </w:pPr>
      <w:rPr>
        <w:rFonts w:ascii="Wingdings" w:cs="Wingdings" w:hAnsi="Wingdings" w:hint="default"/>
      </w:rPr>
    </w:lvl>
    <w:lvl w:ilvl="6">
      <w:start w:val="1"/>
      <w:numFmt w:val="bullet"/>
      <w:lvlText w:val=""/>
      <w:lvlJc w:val="left"/>
      <w:pPr>
        <w:tabs>
          <w:tab w:pos="5040" w:val="num"/>
        </w:tabs>
        <w:ind w:hanging="360" w:left="5040"/>
      </w:pPr>
      <w:rPr>
        <w:rFonts w:ascii="Symbol" w:cs="Symbol" w:hAnsi="Symbol" w:hint="default"/>
      </w:rPr>
    </w:lvl>
    <w:lvl w:ilvl="7">
      <w:start w:val="1"/>
      <w:numFmt w:val="bullet"/>
      <w:lvlText w:val="o"/>
      <w:lvlJc w:val="left"/>
      <w:pPr>
        <w:tabs>
          <w:tab w:pos="5760" w:val="num"/>
        </w:tabs>
        <w:ind w:hanging="360" w:left="5760"/>
      </w:pPr>
      <w:rPr>
        <w:rFonts w:ascii="Courier New" w:cs="Courier New" w:hAnsi="Courier New" w:hint="default"/>
      </w:rPr>
    </w:lvl>
    <w:lvl w:ilvl="8">
      <w:start w:val="1"/>
      <w:numFmt w:val="bullet"/>
      <w:lvlText w:val=""/>
      <w:lvlJc w:val="left"/>
      <w:pPr>
        <w:tabs>
          <w:tab w:pos="6480" w:val="num"/>
        </w:tabs>
        <w:ind w:hanging="360" w:left="6480"/>
      </w:pPr>
      <w:rPr>
        <w:rFonts w:ascii="Wingdings" w:cs="Wingdings" w:hAnsi="Wingdings" w:hint="default"/>
      </w:rPr>
    </w:lvl>
  </w:abstractNum>
  <w:abstractNum w:abstractNumId="5">
    <w:lvl w:ilvl="0">
      <w:start w:val="1"/>
      <w:numFmt w:val="decimal"/>
      <w:lvlText w:val="%1."/>
      <w:lvlJc w:val="left"/>
      <w:pPr>
        <w:tabs>
          <w:tab w:pos="720" w:val="num"/>
        </w:tabs>
        <w:ind w:hanging="360" w:left="720"/>
      </w:pPr>
    </w:lvl>
    <w:lvl w:ilvl="1">
      <w:start w:val="1"/>
      <w:numFmt w:val="lowerLetter"/>
      <w:lvlText w:val="%2."/>
      <w:lvlJc w:val="left"/>
      <w:pPr>
        <w:tabs>
          <w:tab w:pos="1440" w:val="num"/>
        </w:tabs>
        <w:ind w:hanging="360" w:left="1440"/>
      </w:pPr>
    </w:lvl>
    <w:lvl w:ilvl="2">
      <w:start w:val="1"/>
      <w:numFmt w:val="lowerRoman"/>
      <w:lvlText w:val="%2.%3."/>
      <w:lvlJc w:val="right"/>
      <w:pPr>
        <w:tabs>
          <w:tab w:pos="2160" w:val="num"/>
        </w:tabs>
        <w:ind w:hanging="180" w:left="2160"/>
      </w:pPr>
    </w:lvl>
    <w:lvl w:ilvl="3">
      <w:start w:val="1"/>
      <w:numFmt w:val="decimal"/>
      <w:lvlText w:val="%2.%3.%4."/>
      <w:lvlJc w:val="left"/>
      <w:pPr>
        <w:tabs>
          <w:tab w:pos="2880" w:val="num"/>
        </w:tabs>
        <w:ind w:hanging="360" w:left="2880"/>
      </w:pPr>
    </w:lvl>
    <w:lvl w:ilvl="4">
      <w:start w:val="1"/>
      <w:numFmt w:val="lowerLetter"/>
      <w:lvlText w:val="%2.%3.%4.%5."/>
      <w:lvlJc w:val="left"/>
      <w:pPr>
        <w:tabs>
          <w:tab w:pos="3600" w:val="num"/>
        </w:tabs>
        <w:ind w:hanging="360" w:left="3600"/>
      </w:pPr>
    </w:lvl>
    <w:lvl w:ilvl="5">
      <w:start w:val="1"/>
      <w:numFmt w:val="lowerRoman"/>
      <w:lvlText w:val="%2.%3.%4.%5.%6."/>
      <w:lvlJc w:val="right"/>
      <w:pPr>
        <w:tabs>
          <w:tab w:pos="4320" w:val="num"/>
        </w:tabs>
        <w:ind w:hanging="180" w:left="4320"/>
      </w:pPr>
    </w:lvl>
    <w:lvl w:ilvl="6">
      <w:start w:val="1"/>
      <w:numFmt w:val="decimal"/>
      <w:lvlText w:val="%2.%3.%4.%5.%6.%7."/>
      <w:lvlJc w:val="left"/>
      <w:pPr>
        <w:tabs>
          <w:tab w:pos="5040" w:val="num"/>
        </w:tabs>
        <w:ind w:hanging="360" w:left="5040"/>
      </w:pPr>
    </w:lvl>
    <w:lvl w:ilvl="7">
      <w:start w:val="1"/>
      <w:numFmt w:val="lowerLetter"/>
      <w:lvlText w:val="%2.%3.%4.%5.%6.%7.%8."/>
      <w:lvlJc w:val="left"/>
      <w:pPr>
        <w:tabs>
          <w:tab w:pos="5760" w:val="num"/>
        </w:tabs>
        <w:ind w:hanging="360" w:left="5760"/>
      </w:pPr>
    </w:lvl>
    <w:lvl w:ilvl="8">
      <w:start w:val="1"/>
      <w:numFmt w:val="lowerRoman"/>
      <w:lvlText w:val="%2.%3.%4.%5.%6.%7.%8.%9."/>
      <w:lvlJc w:val="right"/>
      <w:pPr>
        <w:tabs>
          <w:tab w:pos="6480" w:val="num"/>
        </w:tabs>
        <w:ind w:hanging="180" w:left="6480"/>
      </w:pPr>
    </w:lvl>
  </w:abstractNum>
  <w:abstractNum w:abstractNumId="6">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2.%3."/>
      <w:lvlJc w:val="right"/>
      <w:pPr>
        <w:ind w:hanging="180" w:left="2160"/>
      </w:pPr>
    </w:lvl>
    <w:lvl w:ilvl="3">
      <w:start w:val="1"/>
      <w:numFmt w:val="decimal"/>
      <w:lvlText w:val="%2.%3.%4."/>
      <w:lvlJc w:val="left"/>
      <w:pPr>
        <w:ind w:hanging="360" w:left="2880"/>
      </w:pPr>
    </w:lvl>
    <w:lvl w:ilvl="4">
      <w:start w:val="1"/>
      <w:numFmt w:val="lowerLetter"/>
      <w:lvlText w:val="%2.%3.%4.%5."/>
      <w:lvlJc w:val="left"/>
      <w:pPr>
        <w:ind w:hanging="360" w:left="3600"/>
      </w:pPr>
    </w:lvl>
    <w:lvl w:ilvl="5">
      <w:start w:val="1"/>
      <w:numFmt w:val="lowerRoman"/>
      <w:lvlText w:val="%2.%3.%4.%5.%6."/>
      <w:lvlJc w:val="right"/>
      <w:pPr>
        <w:ind w:hanging="180" w:left="4320"/>
      </w:pPr>
    </w:lvl>
    <w:lvl w:ilvl="6">
      <w:start w:val="1"/>
      <w:numFmt w:val="decimal"/>
      <w:lvlText w:val="%2.%3.%4.%5.%6.%7."/>
      <w:lvlJc w:val="left"/>
      <w:pPr>
        <w:ind w:hanging="360" w:left="5040"/>
      </w:pPr>
    </w:lvl>
    <w:lvl w:ilvl="7">
      <w:start w:val="1"/>
      <w:numFmt w:val="lowerLetter"/>
      <w:lvlText w:val="%2.%3.%4.%5.%6.%7.%8."/>
      <w:lvlJc w:val="left"/>
      <w:pPr>
        <w:ind w:hanging="360" w:left="5760"/>
      </w:pPr>
    </w:lvl>
    <w:lvl w:ilvl="8">
      <w:start w:val="1"/>
      <w:numFmt w:val="lowerRoman"/>
      <w:lvlText w:val="%2.%3.%4.%5.%6.%7.%8.%9."/>
      <w:lvlJc w:val="right"/>
      <w:pPr>
        <w:ind w:hanging="180" w:left="6480"/>
      </w:pPr>
    </w:lvl>
  </w:abstractNum>
  <w:abstractNum w:abstractNumId="7">
    <w:lvl w:ilvl="0">
      <w:start w:val="1"/>
      <w:numFmt w:val="decimal"/>
      <w:lvlText w:val="%1."/>
      <w:lvlJc w:val="left"/>
      <w:pPr>
        <w:tabs>
          <w:tab w:pos="720" w:val="num"/>
        </w:tabs>
        <w:ind w:hanging="360" w:left="720"/>
      </w:pPr>
    </w:lvl>
    <w:lvl w:ilvl="1">
      <w:start w:val="1"/>
      <w:numFmt w:val="decimal"/>
      <w:lvlText w:val="%2."/>
      <w:lvlJc w:val="left"/>
      <w:pPr>
        <w:tabs>
          <w:tab w:pos="1440" w:val="num"/>
        </w:tabs>
        <w:ind w:hanging="360" w:left="1440"/>
      </w:pPr>
    </w:lvl>
    <w:lvl w:ilvl="2">
      <w:start w:val="1"/>
      <w:numFmt w:val="decimal"/>
      <w:lvlText w:val="%2.%3."/>
      <w:lvlJc w:val="left"/>
      <w:pPr>
        <w:tabs>
          <w:tab w:pos="2160" w:val="num"/>
        </w:tabs>
        <w:ind w:hanging="360" w:left="2160"/>
      </w:pPr>
    </w:lvl>
    <w:lvl w:ilvl="3">
      <w:start w:val="1"/>
      <w:numFmt w:val="decimal"/>
      <w:lvlText w:val="%2.%3.%4."/>
      <w:lvlJc w:val="left"/>
      <w:pPr>
        <w:tabs>
          <w:tab w:pos="2880" w:val="num"/>
        </w:tabs>
        <w:ind w:hanging="360" w:left="2880"/>
      </w:pPr>
    </w:lvl>
    <w:lvl w:ilvl="4">
      <w:start w:val="1"/>
      <w:numFmt w:val="decimal"/>
      <w:lvlText w:val="%2.%3.%4.%5."/>
      <w:lvlJc w:val="left"/>
      <w:pPr>
        <w:tabs>
          <w:tab w:pos="3600" w:val="num"/>
        </w:tabs>
        <w:ind w:hanging="360" w:left="3600"/>
      </w:pPr>
    </w:lvl>
    <w:lvl w:ilvl="5">
      <w:start w:val="1"/>
      <w:numFmt w:val="decimal"/>
      <w:lvlText w:val="%2.%3.%4.%5.%6."/>
      <w:lvlJc w:val="left"/>
      <w:pPr>
        <w:tabs>
          <w:tab w:pos="4320" w:val="num"/>
        </w:tabs>
        <w:ind w:hanging="360" w:left="4320"/>
      </w:pPr>
    </w:lvl>
    <w:lvl w:ilvl="6">
      <w:start w:val="1"/>
      <w:numFmt w:val="decimal"/>
      <w:lvlText w:val="%2.%3.%4.%5.%6.%7."/>
      <w:lvlJc w:val="left"/>
      <w:pPr>
        <w:tabs>
          <w:tab w:pos="5040" w:val="num"/>
        </w:tabs>
        <w:ind w:hanging="360" w:left="5040"/>
      </w:pPr>
    </w:lvl>
    <w:lvl w:ilvl="7">
      <w:start w:val="1"/>
      <w:numFmt w:val="decimal"/>
      <w:lvlText w:val="%2.%3.%4.%5.%6.%7.%8."/>
      <w:lvlJc w:val="left"/>
      <w:pPr>
        <w:tabs>
          <w:tab w:pos="5760" w:val="num"/>
        </w:tabs>
        <w:ind w:hanging="360" w:left="5760"/>
      </w:pPr>
    </w:lvl>
    <w:lvl w:ilvl="8">
      <w:start w:val="1"/>
      <w:numFmt w:val="decimal"/>
      <w:lvlText w:val="%2.%3.%4.%5.%6.%7.%8.%9."/>
      <w:lvlJc w:val="left"/>
      <w:pPr>
        <w:tabs>
          <w:tab w:pos="6480" w:val="num"/>
        </w:tabs>
        <w:ind w:hanging="360" w:left="6480"/>
      </w:pPr>
    </w:lvl>
  </w:abstractNum>
  <w:abstractNum w:abstractNumId="8">
    <w:lvl w:ilvl="0">
      <w:start w:val="2"/>
      <w:numFmt w:val="decimal"/>
      <w:lvlText w:val="%1."/>
      <w:lvlJc w:val="left"/>
      <w:pPr>
        <w:tabs>
          <w:tab w:pos="720" w:val="num"/>
        </w:tabs>
        <w:ind w:hanging="360" w:left="720"/>
      </w:pPr>
    </w:lvl>
    <w:lvl w:ilvl="1">
      <w:start w:val="1"/>
      <w:numFmt w:val="decimal"/>
      <w:lvlText w:val="%2."/>
      <w:lvlJc w:val="left"/>
      <w:pPr>
        <w:tabs>
          <w:tab w:pos="1440" w:val="num"/>
        </w:tabs>
        <w:ind w:hanging="360" w:left="1440"/>
      </w:pPr>
    </w:lvl>
    <w:lvl w:ilvl="2">
      <w:start w:val="1"/>
      <w:numFmt w:val="decimal"/>
      <w:lvlText w:val="%2.%3."/>
      <w:lvlJc w:val="left"/>
      <w:pPr>
        <w:tabs>
          <w:tab w:pos="2160" w:val="num"/>
        </w:tabs>
        <w:ind w:hanging="360" w:left="2160"/>
      </w:pPr>
    </w:lvl>
    <w:lvl w:ilvl="3">
      <w:start w:val="1"/>
      <w:numFmt w:val="decimal"/>
      <w:lvlText w:val="%2.%3.%4."/>
      <w:lvlJc w:val="left"/>
      <w:pPr>
        <w:tabs>
          <w:tab w:pos="2880" w:val="num"/>
        </w:tabs>
        <w:ind w:hanging="360" w:left="2880"/>
      </w:pPr>
    </w:lvl>
    <w:lvl w:ilvl="4">
      <w:start w:val="1"/>
      <w:numFmt w:val="decimal"/>
      <w:lvlText w:val="%2.%3.%4.%5."/>
      <w:lvlJc w:val="left"/>
      <w:pPr>
        <w:tabs>
          <w:tab w:pos="3600" w:val="num"/>
        </w:tabs>
        <w:ind w:hanging="360" w:left="3600"/>
      </w:pPr>
    </w:lvl>
    <w:lvl w:ilvl="5">
      <w:start w:val="1"/>
      <w:numFmt w:val="decimal"/>
      <w:lvlText w:val="%2.%3.%4.%5.%6."/>
      <w:lvlJc w:val="left"/>
      <w:pPr>
        <w:tabs>
          <w:tab w:pos="4320" w:val="num"/>
        </w:tabs>
        <w:ind w:hanging="360" w:left="4320"/>
      </w:pPr>
    </w:lvl>
    <w:lvl w:ilvl="6">
      <w:start w:val="1"/>
      <w:numFmt w:val="decimal"/>
      <w:lvlText w:val="%2.%3.%4.%5.%6.%7."/>
      <w:lvlJc w:val="left"/>
      <w:pPr>
        <w:tabs>
          <w:tab w:pos="5040" w:val="num"/>
        </w:tabs>
        <w:ind w:hanging="360" w:left="5040"/>
      </w:pPr>
    </w:lvl>
    <w:lvl w:ilvl="7">
      <w:start w:val="1"/>
      <w:numFmt w:val="decimal"/>
      <w:lvlText w:val="%2.%3.%4.%5.%6.%7.%8."/>
      <w:lvlJc w:val="left"/>
      <w:pPr>
        <w:tabs>
          <w:tab w:pos="5760" w:val="num"/>
        </w:tabs>
        <w:ind w:hanging="360" w:left="5760"/>
      </w:pPr>
    </w:lvl>
    <w:lvl w:ilvl="8">
      <w:start w:val="1"/>
      <w:numFmt w:val="decimal"/>
      <w:lvlText w:val="%2.%3.%4.%5.%6.%7.%8.%9."/>
      <w:lvlJc w:val="left"/>
      <w:pPr>
        <w:tabs>
          <w:tab w:pos="6480" w:val="num"/>
        </w:tabs>
        <w:ind w:hanging="360" w:left="6480"/>
      </w:pPr>
    </w:lvl>
  </w:abstractNum>
  <w:abstractNum w:abstractNumId="9">
    <w:lvl w:ilvl="0">
      <w:start w:val="3"/>
      <w:numFmt w:val="decimal"/>
      <w:lvlText w:val="%1."/>
      <w:lvlJc w:val="left"/>
      <w:pPr>
        <w:tabs>
          <w:tab w:pos="720" w:val="num"/>
        </w:tabs>
        <w:ind w:hanging="360" w:left="720"/>
      </w:pPr>
    </w:lvl>
    <w:lvl w:ilvl="1">
      <w:start w:val="1"/>
      <w:numFmt w:val="decimal"/>
      <w:lvlText w:val="%2."/>
      <w:lvlJc w:val="left"/>
      <w:pPr>
        <w:tabs>
          <w:tab w:pos="1440" w:val="num"/>
        </w:tabs>
        <w:ind w:hanging="360" w:left="1440"/>
      </w:pPr>
    </w:lvl>
    <w:lvl w:ilvl="2">
      <w:start w:val="1"/>
      <w:numFmt w:val="decimal"/>
      <w:lvlText w:val="%2.%3."/>
      <w:lvlJc w:val="left"/>
      <w:pPr>
        <w:tabs>
          <w:tab w:pos="2160" w:val="num"/>
        </w:tabs>
        <w:ind w:hanging="360" w:left="2160"/>
      </w:pPr>
    </w:lvl>
    <w:lvl w:ilvl="3">
      <w:start w:val="1"/>
      <w:numFmt w:val="decimal"/>
      <w:lvlText w:val="%2.%3.%4."/>
      <w:lvlJc w:val="left"/>
      <w:pPr>
        <w:tabs>
          <w:tab w:pos="2880" w:val="num"/>
        </w:tabs>
        <w:ind w:hanging="360" w:left="2880"/>
      </w:pPr>
    </w:lvl>
    <w:lvl w:ilvl="4">
      <w:start w:val="1"/>
      <w:numFmt w:val="decimal"/>
      <w:lvlText w:val="%2.%3.%4.%5."/>
      <w:lvlJc w:val="left"/>
      <w:pPr>
        <w:tabs>
          <w:tab w:pos="3600" w:val="num"/>
        </w:tabs>
        <w:ind w:hanging="360" w:left="3600"/>
      </w:pPr>
    </w:lvl>
    <w:lvl w:ilvl="5">
      <w:start w:val="1"/>
      <w:numFmt w:val="decimal"/>
      <w:lvlText w:val="%2.%3.%4.%5.%6."/>
      <w:lvlJc w:val="left"/>
      <w:pPr>
        <w:tabs>
          <w:tab w:pos="4320" w:val="num"/>
        </w:tabs>
        <w:ind w:hanging="360" w:left="4320"/>
      </w:pPr>
    </w:lvl>
    <w:lvl w:ilvl="6">
      <w:start w:val="1"/>
      <w:numFmt w:val="decimal"/>
      <w:lvlText w:val="%2.%3.%4.%5.%6.%7."/>
      <w:lvlJc w:val="left"/>
      <w:pPr>
        <w:tabs>
          <w:tab w:pos="5040" w:val="num"/>
        </w:tabs>
        <w:ind w:hanging="360" w:left="5040"/>
      </w:pPr>
    </w:lvl>
    <w:lvl w:ilvl="7">
      <w:start w:val="1"/>
      <w:numFmt w:val="decimal"/>
      <w:lvlText w:val="%2.%3.%4.%5.%6.%7.%8."/>
      <w:lvlJc w:val="left"/>
      <w:pPr>
        <w:tabs>
          <w:tab w:pos="5760" w:val="num"/>
        </w:tabs>
        <w:ind w:hanging="360" w:left="5760"/>
      </w:pPr>
    </w:lvl>
    <w:lvl w:ilvl="8">
      <w:start w:val="1"/>
      <w:numFmt w:val="decimal"/>
      <w:lvlText w:val="%2.%3.%4.%5.%6.%7.%8.%9."/>
      <w:lvlJc w:val="left"/>
      <w:pPr>
        <w:tabs>
          <w:tab w:pos="6480" w:val="num"/>
        </w:tabs>
        <w:ind w:hanging="360" w:left="6480"/>
      </w:pPr>
    </w:lvl>
  </w:abstractNum>
  <w:abstractNum w:abstractNumId="10">
    <w:lvl w:ilvl="0">
      <w:start w:val="4"/>
      <w:numFmt w:val="decimal"/>
      <w:lvlText w:val="%1."/>
      <w:lvlJc w:val="left"/>
      <w:pPr>
        <w:tabs>
          <w:tab w:pos="720" w:val="num"/>
        </w:tabs>
        <w:ind w:hanging="360" w:left="720"/>
      </w:pPr>
    </w:lvl>
    <w:lvl w:ilvl="1">
      <w:start w:val="1"/>
      <w:numFmt w:val="decimal"/>
      <w:lvlText w:val="%2."/>
      <w:lvlJc w:val="left"/>
      <w:pPr>
        <w:tabs>
          <w:tab w:pos="1440" w:val="num"/>
        </w:tabs>
        <w:ind w:hanging="360" w:left="1440"/>
      </w:pPr>
    </w:lvl>
    <w:lvl w:ilvl="2">
      <w:start w:val="1"/>
      <w:numFmt w:val="decimal"/>
      <w:lvlText w:val="%2.%3."/>
      <w:lvlJc w:val="left"/>
      <w:pPr>
        <w:tabs>
          <w:tab w:pos="2160" w:val="num"/>
        </w:tabs>
        <w:ind w:hanging="360" w:left="2160"/>
      </w:pPr>
    </w:lvl>
    <w:lvl w:ilvl="3">
      <w:start w:val="1"/>
      <w:numFmt w:val="decimal"/>
      <w:lvlText w:val="%2.%3.%4."/>
      <w:lvlJc w:val="left"/>
      <w:pPr>
        <w:tabs>
          <w:tab w:pos="2880" w:val="num"/>
        </w:tabs>
        <w:ind w:hanging="360" w:left="2880"/>
      </w:pPr>
    </w:lvl>
    <w:lvl w:ilvl="4">
      <w:start w:val="1"/>
      <w:numFmt w:val="decimal"/>
      <w:lvlText w:val="%2.%3.%4.%5."/>
      <w:lvlJc w:val="left"/>
      <w:pPr>
        <w:tabs>
          <w:tab w:pos="3600" w:val="num"/>
        </w:tabs>
        <w:ind w:hanging="360" w:left="3600"/>
      </w:pPr>
    </w:lvl>
    <w:lvl w:ilvl="5">
      <w:start w:val="1"/>
      <w:numFmt w:val="decimal"/>
      <w:lvlText w:val="%2.%3.%4.%5.%6."/>
      <w:lvlJc w:val="left"/>
      <w:pPr>
        <w:tabs>
          <w:tab w:pos="4320" w:val="num"/>
        </w:tabs>
        <w:ind w:hanging="360" w:left="4320"/>
      </w:pPr>
    </w:lvl>
    <w:lvl w:ilvl="6">
      <w:start w:val="1"/>
      <w:numFmt w:val="decimal"/>
      <w:lvlText w:val="%2.%3.%4.%5.%6.%7."/>
      <w:lvlJc w:val="left"/>
      <w:pPr>
        <w:tabs>
          <w:tab w:pos="5040" w:val="num"/>
        </w:tabs>
        <w:ind w:hanging="360" w:left="5040"/>
      </w:pPr>
    </w:lvl>
    <w:lvl w:ilvl="7">
      <w:start w:val="1"/>
      <w:numFmt w:val="decimal"/>
      <w:lvlText w:val="%2.%3.%4.%5.%6.%7.%8."/>
      <w:lvlJc w:val="left"/>
      <w:pPr>
        <w:tabs>
          <w:tab w:pos="5760" w:val="num"/>
        </w:tabs>
        <w:ind w:hanging="360" w:left="5760"/>
      </w:pPr>
    </w:lvl>
    <w:lvl w:ilvl="8">
      <w:start w:val="1"/>
      <w:numFmt w:val="decimal"/>
      <w:lvlText w:val="%2.%3.%4.%5.%6.%7.%8.%9."/>
      <w:lvlJc w:val="left"/>
      <w:pPr>
        <w:tabs>
          <w:tab w:pos="6480" w:val="num"/>
        </w:tabs>
        <w:ind w:hanging="360" w:left="6480"/>
      </w:pPr>
    </w:lvl>
  </w:abstractNum>
  <w:abstractNum w:abstractNumId="11">
    <w:lvl w:ilvl="0">
      <w:start w:val="1"/>
      <w:numFmt w:val="bullet"/>
      <w:lvlText w:val=""/>
      <w:lvlJc w:val="left"/>
      <w:pPr>
        <w:tabs>
          <w:tab w:pos="707" w:val="num"/>
        </w:tabs>
        <w:ind w:hanging="283" w:left="707"/>
      </w:pPr>
      <w:rPr>
        <w:rFonts w:ascii="Wingdings 2" w:cs="Wingdings 2" w:hAnsi="Wingdings 2" w:hint="default"/>
      </w:rPr>
    </w:lvl>
    <w:lvl w:ilvl="1">
      <w:start w:val="1"/>
      <w:numFmt w:val="bullet"/>
      <w:lvlText w:val=""/>
      <w:lvlJc w:val="left"/>
      <w:pPr>
        <w:tabs>
          <w:tab w:pos="1414" w:val="num"/>
        </w:tabs>
        <w:ind w:hanging="283" w:left="1414"/>
      </w:pPr>
      <w:rPr>
        <w:rFonts w:ascii="Wingdings 2" w:cs="Wingdings 2" w:hAnsi="Wingdings 2" w:hint="default"/>
      </w:rPr>
    </w:lvl>
    <w:lvl w:ilvl="2">
      <w:start w:val="1"/>
      <w:numFmt w:val="bullet"/>
      <w:lvlText w:val=""/>
      <w:lvlJc w:val="left"/>
      <w:pPr>
        <w:tabs>
          <w:tab w:pos="2121" w:val="num"/>
        </w:tabs>
        <w:ind w:hanging="283" w:left="2121"/>
      </w:pPr>
      <w:rPr>
        <w:rFonts w:ascii="Wingdings 2" w:cs="Wingdings 2" w:hAnsi="Wingdings 2" w:hint="default"/>
      </w:rPr>
    </w:lvl>
    <w:lvl w:ilvl="3">
      <w:start w:val="1"/>
      <w:numFmt w:val="bullet"/>
      <w:lvlText w:val=""/>
      <w:lvlJc w:val="left"/>
      <w:pPr>
        <w:tabs>
          <w:tab w:pos="2828" w:val="num"/>
        </w:tabs>
        <w:ind w:hanging="283" w:left="2828"/>
      </w:pPr>
      <w:rPr>
        <w:rFonts w:ascii="Wingdings 2" w:cs="Wingdings 2" w:hAnsi="Wingdings 2" w:hint="default"/>
      </w:rPr>
    </w:lvl>
    <w:lvl w:ilvl="4">
      <w:start w:val="1"/>
      <w:numFmt w:val="bullet"/>
      <w:lvlText w:val=""/>
      <w:lvlJc w:val="left"/>
      <w:pPr>
        <w:tabs>
          <w:tab w:pos="3535" w:val="num"/>
        </w:tabs>
        <w:ind w:hanging="283" w:left="3535"/>
      </w:pPr>
      <w:rPr>
        <w:rFonts w:ascii="Wingdings 2" w:cs="Wingdings 2" w:hAnsi="Wingdings 2" w:hint="default"/>
      </w:rPr>
    </w:lvl>
    <w:lvl w:ilvl="5">
      <w:start w:val="1"/>
      <w:numFmt w:val="bullet"/>
      <w:lvlText w:val=""/>
      <w:lvlJc w:val="left"/>
      <w:pPr>
        <w:tabs>
          <w:tab w:pos="4242" w:val="num"/>
        </w:tabs>
        <w:ind w:hanging="283" w:left="4242"/>
      </w:pPr>
      <w:rPr>
        <w:rFonts w:ascii="Wingdings 2" w:cs="Wingdings 2" w:hAnsi="Wingdings 2" w:hint="default"/>
      </w:rPr>
    </w:lvl>
    <w:lvl w:ilvl="6">
      <w:start w:val="1"/>
      <w:numFmt w:val="bullet"/>
      <w:lvlText w:val=""/>
      <w:lvlJc w:val="left"/>
      <w:pPr>
        <w:tabs>
          <w:tab w:pos="4949" w:val="num"/>
        </w:tabs>
        <w:ind w:hanging="283" w:left="4949"/>
      </w:pPr>
      <w:rPr>
        <w:rFonts w:ascii="Wingdings 2" w:cs="Wingdings 2" w:hAnsi="Wingdings 2" w:hint="default"/>
      </w:rPr>
    </w:lvl>
    <w:lvl w:ilvl="7">
      <w:start w:val="1"/>
      <w:numFmt w:val="bullet"/>
      <w:lvlText w:val=""/>
      <w:lvlJc w:val="left"/>
      <w:pPr>
        <w:tabs>
          <w:tab w:pos="5656" w:val="num"/>
        </w:tabs>
        <w:ind w:hanging="283" w:left="5656"/>
      </w:pPr>
      <w:rPr>
        <w:rFonts w:ascii="Wingdings 2" w:cs="Wingdings 2" w:hAnsi="Wingdings 2" w:hint="default"/>
      </w:rPr>
    </w:lvl>
    <w:lvl w:ilvl="8">
      <w:start w:val="1"/>
      <w:numFmt w:val="bullet"/>
      <w:lvlText w:val=""/>
      <w:lvlJc w:val="left"/>
      <w:pPr>
        <w:tabs>
          <w:tab w:pos="6363" w:val="num"/>
        </w:tabs>
        <w:ind w:hanging="283" w:left="6363"/>
      </w:pPr>
      <w:rPr>
        <w:rFonts w:ascii="Wingdings 2" w:cs="Wingdings 2" w:hAnsi="Wingdings 2"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line="360" w:lineRule="auto"/>
    </w:pPr>
    <w:rPr>
      <w:rFonts w:ascii="Georgia" w:cs="Georgia" w:eastAsia="Times New Roman" w:hAnsi="Georgia"/>
      <w:color w:val="00000A"/>
      <w:sz w:val="22"/>
      <w:szCs w:val="22"/>
      <w:lang w:bidi="ar-SA" w:eastAsia="zh-CN" w:val="en-GB"/>
    </w:rPr>
  </w:style>
  <w:style w:styleId="style1" w:type="paragraph">
    <w:name w:val="Heading 1"/>
    <w:basedOn w:val="style0"/>
    <w:next w:val="style67"/>
    <w:pPr>
      <w:keepNext/>
      <w:spacing w:after="240" w:before="360" w:line="100" w:lineRule="atLeast"/>
    </w:pPr>
    <w:rPr>
      <w:b/>
      <w:bCs/>
      <w:sz w:val="36"/>
      <w:szCs w:val="36"/>
      <w:lang w:eastAsia="fr-FR" w:val="fr-FR"/>
    </w:rPr>
  </w:style>
  <w:style w:styleId="style2" w:type="paragraph">
    <w:name w:val="Heading 2"/>
    <w:basedOn w:val="style0"/>
    <w:next w:val="style67"/>
    <w:pPr>
      <w:keepNext/>
      <w:numPr>
        <w:ilvl w:val="1"/>
        <w:numId w:val="1"/>
      </w:numPr>
      <w:spacing w:after="180" w:before="120" w:line="100" w:lineRule="atLeast"/>
      <w:jc w:val="both"/>
      <w:outlineLvl w:val="1"/>
    </w:pPr>
    <w:rPr>
      <w:b/>
      <w:bCs/>
      <w:sz w:val="28"/>
      <w:szCs w:val="28"/>
      <w:lang w:eastAsia="de-DE" w:val="de-DE"/>
    </w:rPr>
  </w:style>
  <w:style w:styleId="style3" w:type="paragraph">
    <w:name w:val="Heading 3"/>
    <w:basedOn w:val="style0"/>
    <w:next w:val="style67"/>
    <w:pPr>
      <w:keepNext/>
      <w:numPr>
        <w:ilvl w:val="2"/>
        <w:numId w:val="1"/>
      </w:numPr>
      <w:spacing w:after="180" w:before="360" w:line="100" w:lineRule="atLeast"/>
      <w:jc w:val="both"/>
      <w:outlineLvl w:val="2"/>
    </w:pPr>
    <w:rPr>
      <w:b/>
      <w:bCs/>
      <w:sz w:val="26"/>
      <w:szCs w:val="26"/>
      <w:lang w:eastAsia="de-DE" w:val="de-DE"/>
    </w:rPr>
  </w:style>
  <w:style w:styleId="style4" w:type="paragraph">
    <w:name w:val="Heading 4"/>
    <w:basedOn w:val="style3"/>
    <w:next w:val="style67"/>
    <w:pPr>
      <w:numPr>
        <w:ilvl w:val="3"/>
        <w:numId w:val="1"/>
      </w:numPr>
      <w:spacing w:after="60" w:before="240"/>
      <w:outlineLvl w:val="3"/>
    </w:pPr>
    <w:rPr>
      <w:sz w:val="24"/>
      <w:szCs w:val="24"/>
    </w:rPr>
  </w:style>
  <w:style w:styleId="style5" w:type="paragraph">
    <w:name w:val="Heading 5"/>
    <w:basedOn w:val="style4"/>
    <w:next w:val="style67"/>
    <w:pPr>
      <w:numPr>
        <w:ilvl w:val="4"/>
        <w:numId w:val="1"/>
      </w:numPr>
      <w:outlineLvl w:val="4"/>
    </w:pPr>
    <w:rPr>
      <w:sz w:val="22"/>
      <w:szCs w:val="22"/>
    </w:rPr>
  </w:style>
  <w:style w:styleId="style6" w:type="paragraph">
    <w:name w:val="Heading 6"/>
    <w:basedOn w:val="style5"/>
    <w:next w:val="style67"/>
    <w:pPr>
      <w:numPr>
        <w:ilvl w:val="5"/>
        <w:numId w:val="1"/>
      </w:numPr>
      <w:outlineLvl w:val="5"/>
    </w:pPr>
    <w:rPr>
      <w:sz w:val="20"/>
      <w:szCs w:val="20"/>
    </w:rPr>
  </w:style>
  <w:style w:styleId="style7" w:type="paragraph">
    <w:name w:val="Heading 7"/>
    <w:basedOn w:val="style0"/>
    <w:next w:val="style67"/>
    <w:pPr>
      <w:numPr>
        <w:ilvl w:val="6"/>
        <w:numId w:val="1"/>
      </w:numPr>
      <w:spacing w:after="60" w:before="240" w:line="100" w:lineRule="atLeast"/>
      <w:jc w:val="both"/>
      <w:outlineLvl w:val="6"/>
    </w:pPr>
    <w:rPr>
      <w:rFonts w:cs="Times New Roman"/>
      <w:sz w:val="24"/>
      <w:szCs w:val="24"/>
      <w:lang w:eastAsia="de-DE" w:val="de-DE"/>
    </w:rPr>
  </w:style>
  <w:style w:styleId="style8" w:type="paragraph">
    <w:name w:val="Heading 8"/>
    <w:basedOn w:val="style0"/>
    <w:next w:val="style67"/>
    <w:pPr>
      <w:numPr>
        <w:ilvl w:val="7"/>
        <w:numId w:val="1"/>
      </w:numPr>
      <w:spacing w:after="60" w:before="240" w:line="100" w:lineRule="atLeast"/>
      <w:jc w:val="both"/>
      <w:outlineLvl w:val="7"/>
    </w:pPr>
    <w:rPr>
      <w:rFonts w:cs="Times New Roman"/>
      <w:i/>
      <w:iCs/>
      <w:sz w:val="24"/>
      <w:szCs w:val="24"/>
      <w:lang w:eastAsia="de-DE" w:val="de-DE"/>
    </w:rPr>
  </w:style>
  <w:style w:styleId="style9" w:type="paragraph">
    <w:name w:val="Heading 9"/>
    <w:basedOn w:val="style0"/>
    <w:next w:val="style67"/>
    <w:pPr>
      <w:numPr>
        <w:ilvl w:val="8"/>
        <w:numId w:val="1"/>
      </w:numPr>
      <w:spacing w:after="60" w:before="240" w:line="100" w:lineRule="atLeast"/>
      <w:jc w:val="both"/>
      <w:outlineLvl w:val="8"/>
    </w:pPr>
    <w:rPr>
      <w:rFonts w:ascii="Arial" w:cs="Arial" w:hAnsi="Arial"/>
      <w:sz w:val="20"/>
      <w:szCs w:val="20"/>
      <w:lang w:eastAsia="de-DE" w:val="de-DE"/>
    </w:rPr>
  </w:style>
  <w:style w:styleId="style15" w:type="character">
    <w:name w:val="Default Paragraph Font"/>
    <w:next w:val="style15"/>
    <w:rPr/>
  </w:style>
  <w:style w:styleId="style16" w:type="character">
    <w:name w:val="Überschrift 1 Zeichen"/>
    <w:basedOn w:val="style15"/>
    <w:next w:val="style16"/>
    <w:rPr>
      <w:rFonts w:ascii="Georgia" w:cs="Georgia" w:hAnsi="Georgia"/>
      <w:b/>
      <w:bCs/>
      <w:sz w:val="36"/>
      <w:szCs w:val="36"/>
    </w:rPr>
  </w:style>
  <w:style w:styleId="style17" w:type="character">
    <w:name w:val="Überschrift 2 Zeichen"/>
    <w:basedOn w:val="style15"/>
    <w:next w:val="style17"/>
    <w:rPr>
      <w:rFonts w:ascii="Georgia" w:cs="Georgia" w:hAnsi="Georgia"/>
      <w:b/>
      <w:bCs/>
      <w:sz w:val="28"/>
      <w:szCs w:val="28"/>
      <w:lang w:eastAsia="de-DE" w:val="de-DE"/>
    </w:rPr>
  </w:style>
  <w:style w:styleId="style18" w:type="character">
    <w:name w:val="Überschrift 3 Zeichen"/>
    <w:basedOn w:val="style15"/>
    <w:next w:val="style18"/>
    <w:rPr>
      <w:rFonts w:ascii="Georgia" w:cs="Georgia" w:hAnsi="Georgia"/>
      <w:b/>
      <w:bCs/>
      <w:sz w:val="26"/>
      <w:szCs w:val="26"/>
      <w:lang w:eastAsia="de-DE" w:val="de-DE"/>
    </w:rPr>
  </w:style>
  <w:style w:styleId="style19" w:type="character">
    <w:name w:val="Überschrift 4 Zeichen"/>
    <w:basedOn w:val="style15"/>
    <w:next w:val="style19"/>
    <w:rPr>
      <w:rFonts w:ascii="Georgia" w:cs="Georgia" w:hAnsi="Georgia"/>
      <w:b/>
      <w:bCs/>
      <w:sz w:val="24"/>
      <w:szCs w:val="24"/>
      <w:lang w:eastAsia="de-DE" w:val="de-DE"/>
    </w:rPr>
  </w:style>
  <w:style w:styleId="style20" w:type="character">
    <w:name w:val="Überschrift 5 Zeichen"/>
    <w:basedOn w:val="style15"/>
    <w:next w:val="style20"/>
    <w:rPr>
      <w:rFonts w:ascii="Georgia" w:cs="Georgia" w:hAnsi="Georgia"/>
      <w:b/>
      <w:bCs/>
      <w:lang w:eastAsia="de-DE" w:val="de-DE"/>
    </w:rPr>
  </w:style>
  <w:style w:styleId="style21" w:type="character">
    <w:name w:val="Überschrift 6 Zeichen"/>
    <w:basedOn w:val="style15"/>
    <w:next w:val="style21"/>
    <w:rPr>
      <w:rFonts w:ascii="Georgia" w:cs="Georgia" w:hAnsi="Georgia"/>
      <w:b/>
      <w:bCs/>
      <w:sz w:val="20"/>
      <w:szCs w:val="20"/>
      <w:lang w:eastAsia="de-DE" w:val="de-DE"/>
    </w:rPr>
  </w:style>
  <w:style w:styleId="style22" w:type="character">
    <w:name w:val="Überschrift 7 Zeichen"/>
    <w:basedOn w:val="style15"/>
    <w:next w:val="style22"/>
    <w:rPr>
      <w:rFonts w:ascii="Georgia" w:hAnsi="Georgia"/>
      <w:sz w:val="24"/>
      <w:szCs w:val="24"/>
      <w:lang w:eastAsia="de-DE" w:val="de-DE"/>
    </w:rPr>
  </w:style>
  <w:style w:styleId="style23" w:type="character">
    <w:name w:val="Heading 8 Char"/>
    <w:basedOn w:val="style15"/>
    <w:next w:val="style23"/>
    <w:rPr>
      <w:rFonts w:ascii="Calibri" w:cs="" w:hAnsi="Calibri"/>
      <w:i/>
      <w:iCs/>
      <w:sz w:val="24"/>
      <w:szCs w:val="24"/>
      <w:lang w:eastAsia="zh-CN" w:val="en-GB"/>
    </w:rPr>
  </w:style>
  <w:style w:styleId="style24" w:type="character">
    <w:name w:val="Heading 9 Char"/>
    <w:basedOn w:val="style15"/>
    <w:next w:val="style24"/>
    <w:rPr>
      <w:rFonts w:ascii="Cambria" w:cs="" w:hAnsi="Cambria"/>
      <w:lang w:eastAsia="zh-CN" w:val="en-GB"/>
    </w:rPr>
  </w:style>
  <w:style w:styleId="style25" w:type="character">
    <w:name w:val="Balloon Text Char"/>
    <w:basedOn w:val="style15"/>
    <w:next w:val="style25"/>
    <w:rPr>
      <w:rFonts w:ascii="Lucida Grande" w:cs="Lucida Grande" w:hAnsi="Lucida Grande"/>
      <w:sz w:val="18"/>
      <w:szCs w:val="18"/>
    </w:rPr>
  </w:style>
  <w:style w:styleId="style26" w:type="character">
    <w:name w:val="Sprechblasentext Zeichen"/>
    <w:next w:val="style26"/>
    <w:rPr>
      <w:rFonts w:ascii="Lucida Grande" w:cs="Lucida Grande" w:hAnsi="Lucida Grande"/>
      <w:sz w:val="18"/>
      <w:szCs w:val="18"/>
    </w:rPr>
  </w:style>
  <w:style w:styleId="style27" w:type="character">
    <w:name w:val="Sprechblasentext Zeichen1"/>
    <w:next w:val="style27"/>
    <w:rPr>
      <w:rFonts w:ascii="Lucida Grande" w:cs="Lucida Grande" w:hAnsi="Lucida Grande"/>
      <w:sz w:val="18"/>
      <w:szCs w:val="18"/>
    </w:rPr>
  </w:style>
  <w:style w:styleId="style28" w:type="character">
    <w:name w:val="Kopfzeile Zeichen"/>
    <w:basedOn w:val="style15"/>
    <w:next w:val="style28"/>
    <w:rPr/>
  </w:style>
  <w:style w:styleId="style29" w:type="character">
    <w:name w:val="Fußzeile Zeichen"/>
    <w:basedOn w:val="style15"/>
    <w:next w:val="style29"/>
    <w:rPr/>
  </w:style>
  <w:style w:styleId="style30" w:type="character">
    <w:name w:val="Sprechblasentext Zeichen2"/>
    <w:next w:val="style30"/>
    <w:rPr>
      <w:rFonts w:ascii="Tahoma" w:cs="Tahoma" w:hAnsi="Tahoma"/>
      <w:sz w:val="16"/>
      <w:szCs w:val="16"/>
    </w:rPr>
  </w:style>
  <w:style w:styleId="style31" w:type="character">
    <w:name w:val="Überschrift 8 Zeichen"/>
    <w:next w:val="style31"/>
    <w:rPr>
      <w:rFonts w:ascii="Georgia" w:hAnsi="Georgia"/>
      <w:i/>
      <w:iCs/>
      <w:sz w:val="24"/>
      <w:szCs w:val="24"/>
      <w:lang w:eastAsia="de-DE" w:val="de-DE"/>
    </w:rPr>
  </w:style>
  <w:style w:styleId="style32" w:type="character">
    <w:name w:val="Überschrift 9 Zeichen"/>
    <w:next w:val="style32"/>
    <w:rPr>
      <w:rFonts w:ascii="Arial" w:cs="Arial" w:hAnsi="Arial"/>
      <w:sz w:val="20"/>
      <w:szCs w:val="20"/>
      <w:lang w:eastAsia="de-DE" w:val="de-DE"/>
    </w:rPr>
  </w:style>
  <w:style w:styleId="style33" w:type="character">
    <w:name w:val="page number"/>
    <w:basedOn w:val="style15"/>
    <w:next w:val="style33"/>
    <w:rPr>
      <w:rFonts w:ascii="Georgia" w:cs="Georgia" w:hAnsi="Georgia"/>
    </w:rPr>
  </w:style>
  <w:style w:styleId="style34" w:type="character">
    <w:name w:val="Internet Link"/>
    <w:basedOn w:val="style15"/>
    <w:next w:val="style34"/>
    <w:rPr>
      <w:color w:val="0000FF"/>
      <w:u w:val="single"/>
      <w:lang w:bidi="en-US" w:eastAsia="en-US" w:val="en-US"/>
    </w:rPr>
  </w:style>
  <w:style w:styleId="style35" w:type="character">
    <w:name w:val="Title Char"/>
    <w:basedOn w:val="style15"/>
    <w:next w:val="style35"/>
    <w:rPr>
      <w:rFonts w:ascii="Cambria" w:cs="" w:hAnsi="Cambria"/>
      <w:b/>
      <w:bCs/>
      <w:sz w:val="32"/>
      <w:szCs w:val="32"/>
      <w:lang w:eastAsia="zh-CN" w:val="en-GB"/>
    </w:rPr>
  </w:style>
  <w:style w:styleId="style36" w:type="character">
    <w:name w:val="Normal Char"/>
    <w:next w:val="style36"/>
    <w:rPr>
      <w:rFonts w:ascii="Georgia" w:cs="Georgia" w:hAnsi="Georgia"/>
    </w:rPr>
  </w:style>
  <w:style w:styleId="style37" w:type="character">
    <w:name w:val="Titel Zeichen"/>
    <w:next w:val="style37"/>
    <w:rPr>
      <w:rFonts w:ascii="Georgia" w:cs="Georgia" w:hAnsi="Georgia"/>
      <w:color w:val="000000"/>
      <w:spacing w:val="5"/>
      <w:sz w:val="52"/>
      <w:szCs w:val="52"/>
    </w:rPr>
  </w:style>
  <w:style w:styleId="style38" w:type="character">
    <w:name w:val="Normal 2 Char"/>
    <w:basedOn w:val="style36"/>
    <w:next w:val="style38"/>
    <w:rPr/>
  </w:style>
  <w:style w:styleId="style39" w:type="character">
    <w:name w:val="Numbererd Items Zeichen"/>
    <w:next w:val="style39"/>
    <w:rPr>
      <w:rFonts w:ascii="Georgia" w:cs="Georgia" w:hAnsi="Georgia"/>
      <w:lang w:eastAsia="de-AT" w:val="en-GB"/>
    </w:rPr>
  </w:style>
  <w:style w:styleId="style40" w:type="character">
    <w:name w:val="footnote reference"/>
    <w:basedOn w:val="style15"/>
    <w:next w:val="style40"/>
    <w:rPr>
      <w:vertAlign w:val="superscript"/>
    </w:rPr>
  </w:style>
  <w:style w:styleId="style41" w:type="character">
    <w:name w:val="Footnote Text Char"/>
    <w:basedOn w:val="style15"/>
    <w:next w:val="style41"/>
    <w:rPr>
      <w:rFonts w:ascii="Georgia" w:cs="Georgia" w:hAnsi="Georgia"/>
      <w:sz w:val="20"/>
      <w:szCs w:val="20"/>
      <w:lang w:eastAsia="zh-CN" w:val="en-GB"/>
    </w:rPr>
  </w:style>
  <w:style w:styleId="style42" w:type="character">
    <w:name w:val="Fußnotentext Zeichen"/>
    <w:next w:val="style42"/>
    <w:rPr>
      <w:rFonts w:ascii="Georgia" w:cs="Georgia" w:hAnsi="Georgia"/>
      <w:sz w:val="20"/>
      <w:szCs w:val="20"/>
      <w:lang w:eastAsia="en-GB"/>
    </w:rPr>
  </w:style>
  <w:style w:styleId="style43" w:type="character">
    <w:name w:val="Colorful List - Accent 1 Char"/>
    <w:next w:val="style43"/>
    <w:rPr>
      <w:rFonts w:ascii="Georgia" w:cs="Georgia" w:hAnsi="Georgia"/>
      <w:lang w:eastAsia="zh-CN" w:val="en-GB"/>
    </w:rPr>
  </w:style>
  <w:style w:styleId="style44" w:type="character">
    <w:name w:val="Strong Emphasis"/>
    <w:basedOn w:val="style15"/>
    <w:next w:val="style44"/>
    <w:rPr>
      <w:b/>
      <w:bCs/>
    </w:rPr>
  </w:style>
  <w:style w:styleId="style45" w:type="character">
    <w:name w:val="highlightedsearchterm"/>
    <w:basedOn w:val="style15"/>
    <w:next w:val="style45"/>
    <w:rPr/>
  </w:style>
  <w:style w:styleId="style46" w:type="character">
    <w:name w:val="annotation reference"/>
    <w:basedOn w:val="style15"/>
    <w:next w:val="style46"/>
    <w:rPr>
      <w:sz w:val="18"/>
      <w:szCs w:val="18"/>
    </w:rPr>
  </w:style>
  <w:style w:styleId="style47" w:type="character">
    <w:name w:val="Comment Text Char"/>
    <w:basedOn w:val="style15"/>
    <w:next w:val="style47"/>
    <w:rPr>
      <w:rFonts w:ascii="Georgia" w:cs="Georgia" w:hAnsi="Georgia"/>
      <w:sz w:val="20"/>
      <w:szCs w:val="20"/>
      <w:lang w:eastAsia="zh-CN" w:val="en-GB"/>
    </w:rPr>
  </w:style>
  <w:style w:styleId="style48" w:type="character">
    <w:name w:val="Kommentartext Zeichen"/>
    <w:next w:val="style48"/>
    <w:rPr>
      <w:rFonts w:ascii="Georgia" w:cs="Georgia" w:hAnsi="Georgia"/>
      <w:sz w:val="24"/>
      <w:szCs w:val="24"/>
    </w:rPr>
  </w:style>
  <w:style w:styleId="style49" w:type="character">
    <w:name w:val="Comment Subject Char"/>
    <w:basedOn w:val="style48"/>
    <w:next w:val="style49"/>
    <w:rPr>
      <w:b/>
      <w:bCs/>
      <w:sz w:val="20"/>
      <w:szCs w:val="20"/>
      <w:lang w:eastAsia="zh-CN" w:val="en-GB"/>
    </w:rPr>
  </w:style>
  <w:style w:styleId="style50" w:type="character">
    <w:name w:val="Kommentarthema Zeichen"/>
    <w:next w:val="style50"/>
    <w:rPr>
      <w:rFonts w:ascii="Georgia" w:cs="Georgia" w:hAnsi="Georgia"/>
      <w:b/>
      <w:bCs/>
      <w:sz w:val="20"/>
      <w:szCs w:val="20"/>
    </w:rPr>
  </w:style>
  <w:style w:styleId="style51" w:type="character">
    <w:name w:val="Dokumentstruktur Zeichen"/>
    <w:basedOn w:val="style15"/>
    <w:next w:val="style51"/>
    <w:rPr>
      <w:rFonts w:ascii="Times New Roman" w:hAnsi="Times New Roman"/>
      <w:sz w:val="0"/>
      <w:szCs w:val="0"/>
      <w:lang w:eastAsia="zh-CN" w:val="en-GB"/>
    </w:rPr>
  </w:style>
  <w:style w:styleId="style52" w:type="character">
    <w:name w:val="HTML Typewriter"/>
    <w:basedOn w:val="style15"/>
    <w:next w:val="style52"/>
    <w:rPr>
      <w:rFonts w:ascii="Courier" w:cs="Courier" w:hAnsi="Courier"/>
      <w:sz w:val="20"/>
      <w:szCs w:val="20"/>
    </w:rPr>
  </w:style>
  <w:style w:styleId="style53" w:type="character">
    <w:name w:val="HTML Vorformatiert Zeichen"/>
    <w:basedOn w:val="style15"/>
    <w:next w:val="style53"/>
    <w:rPr>
      <w:rFonts w:ascii="Courier" w:cs="Courier" w:hAnsi="Courier"/>
      <w:sz w:val="20"/>
      <w:szCs w:val="20"/>
    </w:rPr>
  </w:style>
  <w:style w:styleId="style54" w:type="character">
    <w:name w:val="FollowedHyperlink"/>
    <w:basedOn w:val="style15"/>
    <w:next w:val="style54"/>
    <w:rPr>
      <w:color w:val="800080"/>
      <w:u w:val="single"/>
    </w:rPr>
  </w:style>
  <w:style w:styleId="style55" w:type="character">
    <w:name w:val="ListLabel 1"/>
    <w:next w:val="style55"/>
    <w:rPr>
      <w:rFonts w:cs="Symbol"/>
    </w:rPr>
  </w:style>
  <w:style w:styleId="style56" w:type="character">
    <w:name w:val="ListLabel 2"/>
    <w:next w:val="style56"/>
    <w:rPr>
      <w:rFonts w:cs="Wingdings"/>
    </w:rPr>
  </w:style>
  <w:style w:styleId="style57" w:type="character">
    <w:name w:val="ListLabel 3"/>
    <w:next w:val="style57"/>
    <w:rPr>
      <w:rFonts w:cs="Georgia"/>
      <w:color w:val="00000A"/>
    </w:rPr>
  </w:style>
  <w:style w:styleId="style58" w:type="character">
    <w:name w:val="ListLabel 4"/>
    <w:next w:val="style58"/>
    <w:rPr>
      <w:rFonts w:cs="Courier New"/>
    </w:rPr>
  </w:style>
  <w:style w:styleId="style59" w:type="character">
    <w:name w:val="ListLabel 5"/>
    <w:next w:val="style59"/>
    <w:rPr>
      <w:rFonts w:cs="Symbol"/>
    </w:rPr>
  </w:style>
  <w:style w:styleId="style60" w:type="character">
    <w:name w:val="ListLabel 6"/>
    <w:next w:val="style60"/>
    <w:rPr>
      <w:rFonts w:cs="Courier New"/>
    </w:rPr>
  </w:style>
  <w:style w:styleId="style61" w:type="character">
    <w:name w:val="ListLabel 7"/>
    <w:next w:val="style61"/>
    <w:rPr>
      <w:rFonts w:cs="Wingdings"/>
    </w:rPr>
  </w:style>
  <w:style w:styleId="style62" w:type="character">
    <w:name w:val="ListLabel 8"/>
    <w:next w:val="style62"/>
    <w:rPr>
      <w:rFonts w:cs="Symbol"/>
    </w:rPr>
  </w:style>
  <w:style w:styleId="style63" w:type="character">
    <w:name w:val="ListLabel 9"/>
    <w:next w:val="style63"/>
    <w:rPr>
      <w:rFonts w:cs="Courier New"/>
    </w:rPr>
  </w:style>
  <w:style w:styleId="style64" w:type="character">
    <w:name w:val="ListLabel 10"/>
    <w:next w:val="style64"/>
    <w:rPr>
      <w:rFonts w:cs="Wingdings"/>
    </w:rPr>
  </w:style>
  <w:style w:styleId="style65" w:type="character">
    <w:name w:val="WW8Num16z0"/>
    <w:next w:val="style65"/>
    <w:rPr>
      <w:rFonts w:ascii="Wingdings 2" w:cs="Wingdings 2" w:hAnsi="Wingdings 2"/>
    </w:rPr>
  </w:style>
  <w:style w:styleId="style66" w:type="paragraph">
    <w:name w:val="Heading"/>
    <w:basedOn w:val="style0"/>
    <w:next w:val="style67"/>
    <w:pPr>
      <w:keepNext/>
      <w:spacing w:after="120" w:before="240"/>
    </w:pPr>
    <w:rPr>
      <w:rFonts w:ascii="Liberation Sans" w:cs="Lohit Hindi" w:eastAsia="WenQuanYi Micro Hei" w:hAnsi="Liberation Sans"/>
      <w:sz w:val="28"/>
      <w:szCs w:val="28"/>
    </w:rPr>
  </w:style>
  <w:style w:styleId="style67" w:type="paragraph">
    <w:name w:val="Text body"/>
    <w:basedOn w:val="style0"/>
    <w:next w:val="style67"/>
    <w:pPr>
      <w:spacing w:after="120" w:before="0"/>
    </w:pPr>
    <w:rPr/>
  </w:style>
  <w:style w:styleId="style68" w:type="paragraph">
    <w:name w:val="List"/>
    <w:basedOn w:val="style67"/>
    <w:next w:val="style68"/>
    <w:pPr/>
    <w:rPr>
      <w:rFonts w:cs="Lohit Hindi"/>
    </w:rPr>
  </w:style>
  <w:style w:styleId="style69" w:type="paragraph">
    <w:name w:val="Caption"/>
    <w:basedOn w:val="style0"/>
    <w:next w:val="style69"/>
    <w:pPr>
      <w:suppressLineNumbers/>
      <w:spacing w:after="120" w:before="120"/>
    </w:pPr>
    <w:rPr>
      <w:rFonts w:cs="Lohit Hindi"/>
      <w:i/>
      <w:iCs/>
      <w:sz w:val="24"/>
      <w:szCs w:val="24"/>
    </w:rPr>
  </w:style>
  <w:style w:styleId="style70" w:type="paragraph">
    <w:name w:val="Index"/>
    <w:basedOn w:val="style0"/>
    <w:next w:val="style70"/>
    <w:pPr>
      <w:suppressLineNumbers/>
    </w:pPr>
    <w:rPr>
      <w:rFonts w:cs="Lohit Hindi"/>
    </w:rPr>
  </w:style>
  <w:style w:styleId="style71" w:type="paragraph">
    <w:name w:val="Balloon Text"/>
    <w:basedOn w:val="style0"/>
    <w:next w:val="style71"/>
    <w:pPr>
      <w:spacing w:line="100" w:lineRule="atLeast"/>
    </w:pPr>
    <w:rPr>
      <w:rFonts w:ascii="Lucida Grande" w:cs="Lucida Grande" w:hAnsi="Lucida Grande"/>
      <w:sz w:val="18"/>
      <w:szCs w:val="18"/>
      <w:lang w:eastAsia="fr-FR" w:val="fr-FR"/>
    </w:rPr>
  </w:style>
  <w:style w:styleId="style72" w:type="paragraph">
    <w:name w:val="Header"/>
    <w:basedOn w:val="style0"/>
    <w:next w:val="style72"/>
    <w:pPr>
      <w:suppressLineNumbers/>
      <w:tabs>
        <w:tab w:leader="none" w:pos="4513" w:val="center"/>
        <w:tab w:leader="none" w:pos="9026" w:val="right"/>
      </w:tabs>
      <w:spacing w:line="100" w:lineRule="atLeast"/>
    </w:pPr>
    <w:rPr/>
  </w:style>
  <w:style w:styleId="style73" w:type="paragraph">
    <w:name w:val="Footer"/>
    <w:basedOn w:val="style0"/>
    <w:next w:val="style73"/>
    <w:pPr>
      <w:suppressLineNumbers/>
      <w:tabs>
        <w:tab w:leader="none" w:pos="4513" w:val="center"/>
        <w:tab w:leader="none" w:pos="9026" w:val="right"/>
      </w:tabs>
      <w:spacing w:line="100" w:lineRule="atLeast"/>
    </w:pPr>
    <w:rPr/>
  </w:style>
  <w:style w:styleId="style74" w:type="paragraph">
    <w:name w:val="caption"/>
    <w:basedOn w:val="style0"/>
    <w:next w:val="style74"/>
    <w:pPr>
      <w:spacing w:after="0" w:before="120" w:line="100" w:lineRule="atLeast"/>
    </w:pPr>
    <w:rPr>
      <w:b/>
      <w:bCs/>
      <w:color w:val="996633"/>
      <w:sz w:val="18"/>
      <w:szCs w:val="18"/>
    </w:rPr>
  </w:style>
  <w:style w:styleId="style75" w:type="paragraph">
    <w:name w:val="Colorful List - Accent 11"/>
    <w:basedOn w:val="style0"/>
    <w:next w:val="style75"/>
    <w:pPr>
      <w:spacing w:after="120" w:before="120"/>
      <w:jc w:val="both"/>
    </w:pPr>
    <w:rPr/>
  </w:style>
  <w:style w:styleId="style76" w:type="paragraph">
    <w:name w:val="Voorblad standaard"/>
    <w:next w:val="style76"/>
    <w:pPr>
      <w:widowControl/>
      <w:tabs>
        <w:tab w:leader="none" w:pos="720" w:val="left"/>
      </w:tabs>
      <w:suppressAutoHyphens w:val="true"/>
    </w:pPr>
    <w:rPr>
      <w:rFonts w:ascii="Georgia" w:cs="Times New Roman" w:eastAsia="Times New Roman" w:hAnsi="Georgia"/>
      <w:color w:val="00000A"/>
      <w:sz w:val="22"/>
      <w:szCs w:val="22"/>
      <w:lang w:bidi="ar-SA" w:eastAsia="de-AT" w:val="de-AT"/>
    </w:rPr>
  </w:style>
  <w:style w:styleId="style77" w:type="paragraph">
    <w:name w:val="Contents 1"/>
    <w:basedOn w:val="style0"/>
    <w:next w:val="style77"/>
    <w:pPr>
      <w:tabs>
        <w:tab w:leader="dot" w:pos="9638" w:val="right"/>
      </w:tabs>
      <w:spacing w:after="0" w:before="120" w:line="100" w:lineRule="atLeast"/>
      <w:ind w:hanging="0" w:left="0" w:right="0"/>
      <w:jc w:val="both"/>
    </w:pPr>
    <w:rPr>
      <w:lang w:eastAsia="de-DE" w:val="de-DE"/>
    </w:rPr>
  </w:style>
  <w:style w:styleId="style78" w:type="paragraph">
    <w:name w:val="Contents 2"/>
    <w:basedOn w:val="style0"/>
    <w:next w:val="style78"/>
    <w:pPr>
      <w:tabs>
        <w:tab w:leader="none" w:pos="1320" w:val="left"/>
        <w:tab w:leader="dot" w:pos="9616" w:val="right"/>
      </w:tabs>
      <w:spacing w:after="0" w:before="120" w:line="100" w:lineRule="atLeast"/>
      <w:ind w:hanging="0" w:left="200" w:right="0"/>
      <w:jc w:val="both"/>
    </w:pPr>
    <w:rPr>
      <w:lang w:eastAsia="de-DE" w:val="de-DE"/>
    </w:rPr>
  </w:style>
  <w:style w:styleId="style79" w:type="paragraph">
    <w:name w:val="Normal1"/>
    <w:basedOn w:val="style0"/>
    <w:next w:val="style79"/>
    <w:pPr>
      <w:spacing w:line="100" w:lineRule="atLeast"/>
      <w:jc w:val="both"/>
    </w:pPr>
    <w:rPr>
      <w:sz w:val="20"/>
      <w:szCs w:val="20"/>
      <w:lang w:eastAsia="fr-FR" w:val="fr-FR"/>
    </w:rPr>
  </w:style>
  <w:style w:styleId="style80" w:type="paragraph">
    <w:name w:val="Title"/>
    <w:basedOn w:val="style0"/>
    <w:next w:val="style81"/>
    <w:pPr>
      <w:pBdr>
        <w:bottom w:color="4F81BD" w:space="0" w:sz="8" w:val="single"/>
      </w:pBdr>
      <w:spacing w:after="300" w:before="0" w:line="100" w:lineRule="atLeast"/>
      <w:jc w:val="center"/>
    </w:pPr>
    <w:rPr>
      <w:b/>
      <w:bCs/>
      <w:color w:val="000000"/>
      <w:spacing w:val="5"/>
      <w:sz w:val="40"/>
      <w:szCs w:val="40"/>
      <w:lang w:eastAsia="fr-FR" w:val="fr-FR"/>
    </w:rPr>
  </w:style>
  <w:style w:styleId="style81" w:type="paragraph">
    <w:name w:val="Subtitle"/>
    <w:basedOn w:val="style66"/>
    <w:next w:val="style67"/>
    <w:pPr>
      <w:jc w:val="center"/>
    </w:pPr>
    <w:rPr>
      <w:i/>
      <w:iCs/>
      <w:sz w:val="28"/>
      <w:szCs w:val="28"/>
    </w:rPr>
  </w:style>
  <w:style w:styleId="style82" w:type="paragraph">
    <w:name w:val="Normal 2"/>
    <w:basedOn w:val="style79"/>
    <w:next w:val="style82"/>
    <w:pPr>
      <w:spacing w:after="100" w:before="100" w:line="360" w:lineRule="auto"/>
    </w:pPr>
    <w:rPr/>
  </w:style>
  <w:style w:styleId="style83" w:type="paragraph">
    <w:name w:val="Numbererd Items"/>
    <w:basedOn w:val="style0"/>
    <w:next w:val="style83"/>
    <w:pPr>
      <w:spacing w:after="120" w:before="120" w:line="100" w:lineRule="atLeast"/>
      <w:jc w:val="both"/>
    </w:pPr>
    <w:rPr>
      <w:lang w:eastAsia="de-AT"/>
    </w:rPr>
  </w:style>
  <w:style w:styleId="style84" w:type="paragraph">
    <w:name w:val="Contents 3"/>
    <w:basedOn w:val="style0"/>
    <w:next w:val="style84"/>
    <w:pPr>
      <w:tabs>
        <w:tab w:leader="dot" w:pos="10398" w:val="right"/>
      </w:tabs>
      <w:spacing w:after="0" w:before="120" w:line="100" w:lineRule="atLeast"/>
      <w:ind w:hanging="0" w:left="442" w:right="0"/>
    </w:pPr>
    <w:rPr/>
  </w:style>
  <w:style w:styleId="style85" w:type="paragraph">
    <w:name w:val="Contents 4"/>
    <w:basedOn w:val="style0"/>
    <w:next w:val="style85"/>
    <w:pPr>
      <w:tabs>
        <w:tab w:leader="dot" w:pos="10949" w:val="right"/>
      </w:tabs>
      <w:spacing w:after="100" w:before="0" w:line="100" w:lineRule="atLeast"/>
      <w:ind w:hanging="0" w:left="720" w:right="0"/>
    </w:pPr>
    <w:rPr>
      <w:rFonts w:ascii="Calibri" w:cs="Calibri" w:hAnsi="Calibri"/>
      <w:sz w:val="24"/>
      <w:szCs w:val="24"/>
      <w:lang w:eastAsia="de-DE" w:val="de-DE"/>
    </w:rPr>
  </w:style>
  <w:style w:styleId="style86" w:type="paragraph">
    <w:name w:val="Contents 5"/>
    <w:basedOn w:val="style0"/>
    <w:next w:val="style86"/>
    <w:pPr>
      <w:tabs>
        <w:tab w:leader="dot" w:pos="11386" w:val="right"/>
      </w:tabs>
      <w:spacing w:after="100" w:before="0" w:line="100" w:lineRule="atLeast"/>
      <w:ind w:hanging="0" w:left="960" w:right="0"/>
    </w:pPr>
    <w:rPr>
      <w:rFonts w:ascii="Calibri" w:cs="Calibri" w:hAnsi="Calibri"/>
      <w:sz w:val="24"/>
      <w:szCs w:val="24"/>
      <w:lang w:eastAsia="de-DE" w:val="de-DE"/>
    </w:rPr>
  </w:style>
  <w:style w:styleId="style87" w:type="paragraph">
    <w:name w:val="Contents 6"/>
    <w:basedOn w:val="style0"/>
    <w:next w:val="style87"/>
    <w:pPr>
      <w:tabs>
        <w:tab w:leader="dot" w:pos="11823" w:val="right"/>
      </w:tabs>
      <w:spacing w:after="100" w:before="0" w:line="100" w:lineRule="atLeast"/>
      <w:ind w:hanging="0" w:left="1200" w:right="0"/>
    </w:pPr>
    <w:rPr>
      <w:rFonts w:ascii="Calibri" w:cs="Calibri" w:hAnsi="Calibri"/>
      <w:sz w:val="24"/>
      <w:szCs w:val="24"/>
      <w:lang w:eastAsia="de-DE" w:val="de-DE"/>
    </w:rPr>
  </w:style>
  <w:style w:styleId="style88" w:type="paragraph">
    <w:name w:val="Contents 7"/>
    <w:basedOn w:val="style0"/>
    <w:next w:val="style88"/>
    <w:pPr>
      <w:tabs>
        <w:tab w:leader="dot" w:pos="12260" w:val="right"/>
      </w:tabs>
      <w:spacing w:after="100" w:before="0" w:line="100" w:lineRule="atLeast"/>
      <w:ind w:hanging="0" w:left="1440" w:right="0"/>
    </w:pPr>
    <w:rPr>
      <w:rFonts w:ascii="Calibri" w:cs="Calibri" w:hAnsi="Calibri"/>
      <w:sz w:val="24"/>
      <w:szCs w:val="24"/>
      <w:lang w:eastAsia="de-DE" w:val="de-DE"/>
    </w:rPr>
  </w:style>
  <w:style w:styleId="style89" w:type="paragraph">
    <w:name w:val="Contents 8"/>
    <w:basedOn w:val="style0"/>
    <w:next w:val="style89"/>
    <w:pPr>
      <w:tabs>
        <w:tab w:leader="dot" w:pos="12697" w:val="right"/>
      </w:tabs>
      <w:spacing w:after="100" w:before="0" w:line="100" w:lineRule="atLeast"/>
      <w:ind w:hanging="0" w:left="1680" w:right="0"/>
    </w:pPr>
    <w:rPr>
      <w:rFonts w:ascii="Calibri" w:cs="Calibri" w:hAnsi="Calibri"/>
      <w:sz w:val="24"/>
      <w:szCs w:val="24"/>
      <w:lang w:eastAsia="de-DE" w:val="de-DE"/>
    </w:rPr>
  </w:style>
  <w:style w:styleId="style90" w:type="paragraph">
    <w:name w:val="Contents 9"/>
    <w:basedOn w:val="style0"/>
    <w:next w:val="style90"/>
    <w:pPr>
      <w:tabs>
        <w:tab w:leader="dot" w:pos="13134" w:val="right"/>
      </w:tabs>
      <w:spacing w:after="100" w:before="0" w:line="100" w:lineRule="atLeast"/>
      <w:ind w:hanging="0" w:left="1920" w:right="0"/>
    </w:pPr>
    <w:rPr>
      <w:rFonts w:ascii="Calibri" w:cs="Calibri" w:hAnsi="Calibri"/>
      <w:sz w:val="24"/>
      <w:szCs w:val="24"/>
      <w:lang w:eastAsia="de-DE" w:val="de-DE"/>
    </w:rPr>
  </w:style>
  <w:style w:styleId="style91" w:type="paragraph">
    <w:name w:val="footnote text"/>
    <w:basedOn w:val="style0"/>
    <w:next w:val="style91"/>
    <w:pPr>
      <w:spacing w:line="100" w:lineRule="atLeast"/>
    </w:pPr>
    <w:rPr>
      <w:sz w:val="18"/>
      <w:szCs w:val="18"/>
      <w:lang w:eastAsia="en-GB" w:val="fr-FR"/>
    </w:rPr>
  </w:style>
  <w:style w:styleId="style92" w:type="paragraph">
    <w:name w:val="Style-10"/>
    <w:next w:val="style92"/>
    <w:pPr>
      <w:widowControl/>
      <w:tabs>
        <w:tab w:leader="none" w:pos="720" w:val="left"/>
      </w:tabs>
      <w:suppressAutoHyphens w:val="true"/>
    </w:pPr>
    <w:rPr>
      <w:rFonts w:ascii="Georgia" w:cs="Times New Roman" w:eastAsia="Times New Roman" w:hAnsi="Georgia"/>
      <w:color w:val="00000A"/>
      <w:sz w:val="24"/>
      <w:szCs w:val="24"/>
      <w:lang w:bidi="ar-SA" w:eastAsia="el-GR" w:val="el-GR"/>
    </w:rPr>
  </w:style>
  <w:style w:styleId="style93" w:type="paragraph">
    <w:name w:val="annotation text"/>
    <w:basedOn w:val="style0"/>
    <w:next w:val="style93"/>
    <w:pPr>
      <w:spacing w:line="100" w:lineRule="atLeast"/>
    </w:pPr>
    <w:rPr>
      <w:sz w:val="24"/>
      <w:szCs w:val="24"/>
      <w:lang w:eastAsia="fr-FR" w:val="fr-FR"/>
    </w:rPr>
  </w:style>
  <w:style w:styleId="style94" w:type="paragraph">
    <w:name w:val="annotation subject"/>
    <w:basedOn w:val="style93"/>
    <w:next w:val="style94"/>
    <w:pPr/>
    <w:rPr>
      <w:b/>
      <w:bCs/>
      <w:sz w:val="20"/>
      <w:szCs w:val="20"/>
    </w:rPr>
  </w:style>
  <w:style w:styleId="style95" w:type="paragraph">
    <w:name w:val="List Paragraph"/>
    <w:basedOn w:val="style0"/>
    <w:next w:val="style95"/>
    <w:pPr>
      <w:ind w:hanging="0" w:left="720" w:right="0"/>
    </w:pPr>
    <w:rPr/>
  </w:style>
  <w:style w:styleId="style96" w:type="paragraph">
    <w:name w:val="Document Map"/>
    <w:basedOn w:val="style0"/>
    <w:next w:val="style96"/>
    <w:pPr>
      <w:shd w:fill="000080" w:val="clear"/>
    </w:pPr>
    <w:rPr>
      <w:rFonts w:ascii="Tahoma" w:cs="Tahoma" w:hAnsi="Tahoma"/>
    </w:rPr>
  </w:style>
  <w:style w:styleId="style97" w:type="paragraph">
    <w:name w:val="Normal (Web)"/>
    <w:basedOn w:val="style0"/>
    <w:next w:val="style97"/>
    <w:pPr>
      <w:spacing w:line="100" w:lineRule="atLeast"/>
    </w:pPr>
    <w:rPr>
      <w:rFonts w:ascii="Times" w:cs="Times" w:hAnsi="Times"/>
      <w:sz w:val="20"/>
      <w:szCs w:val="20"/>
      <w:lang w:eastAsia="de-DE" w:val="de-DE"/>
    </w:rPr>
  </w:style>
  <w:style w:styleId="style98" w:type="paragraph">
    <w:name w:val="HTML Preformatted"/>
    <w:basedOn w:val="style0"/>
    <w:next w:val="style98"/>
    <w:p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line="100" w:lineRule="atLeast"/>
    </w:pPr>
    <w:rPr>
      <w:rFonts w:ascii="Courier" w:cs="Courier" w:hAnsi="Courier"/>
      <w:sz w:val="20"/>
      <w:szCs w:val="20"/>
      <w:lang w:eastAsia="de-DE" w:val="de-DE"/>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image" Target="media/image50.png"/><Relationship Id="rId6" Type="http://schemas.openxmlformats.org/officeDocument/2006/relationships/image" Target="media/image51.png"/><Relationship Id="rId7" Type="http://schemas.openxmlformats.org/officeDocument/2006/relationships/image" Target="media/image52.png"/><Relationship Id="rId8" Type="http://schemas.openxmlformats.org/officeDocument/2006/relationships/image" Target="media/image53.png"/><Relationship Id="rId9" Type="http://schemas.openxmlformats.org/officeDocument/2006/relationships/image" Target="media/image54.png"/><Relationship Id="rId10" Type="http://schemas.openxmlformats.org/officeDocument/2006/relationships/image" Target="media/image55.png"/><Relationship Id="rId11" Type="http://schemas.openxmlformats.org/officeDocument/2006/relationships/numbering" Target="numbering.xml"/><Relationship Id="rId1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LibreOffice/3.4$Unix LibreOffice_project/340m1$Build-402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2011-09-26T14:14:00.00Z</dcterms:created>
  <dc:creator>Christian Federmann</dc:creator>
  <cp:lastModifiedBy>Marc Schröder</cp:lastModifiedBy>
  <cp:lastPrinted>2012-03-07T18:27:22.00Z</cp:lastPrinted>
  <dcterms:modified xsi:type="dcterms:W3CDTF">2011-09-26T15:02:00.00Z</dcterms:modified>
  <cp:revision>5</cp:revision>
  <dc:subject>EC FP7 project no. FP7-RI-2122230, D5R-2 - 01.04.2009</dc:subject>
  <dc:title>Technologies for the Multilingual European Information Society</dc:title>
</cp:coreProperties>
</file>