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Елена Стоилова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Директор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ПМГ ,,Проф. Емануил Иванов"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гр. Кюстендил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ИЗВИНИТЕЛНА БЕЛЕЖКА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Издава се на: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Атанас Атанасов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ученик в 10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кл. на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ПМГ,,Проф. Емануил Иванов", гр. Кюстендил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като уверение, че същият ще вземе участие на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23-27 януари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в образователно събитие и Мастър клас на тема „Бъдещето на градовете и селата“ като част от младежката иновационна програма Panda Labs Gen II на WWF България.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 въпроси относно програмата Panda Labs Gen II и участието на ученика можете да се свържете с Виктория Табакова, Координатор Младежка Ангажираност, WWF България.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Tel: 0898443669 E-mail: vtabakova@wwf.bg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342900</wp:posOffset>
            </wp:positionV>
            <wp:extent cx="1961150" cy="811637"/>
            <wp:effectExtent b="0" l="0" r="0" t="0"/>
            <wp:wrapSquare wrapText="bothSides" distB="152400" distT="152400" distL="152400" distR="152400"/>
            <wp:docPr descr="Image" id="107374183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150" cy="811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Подпис: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23/01/2023 г.                                                                                 Виктория Табакова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София                                                            Координатор младежка ангажираност, WWF България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524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440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leader="none" w:pos="4513"/>
        <w:tab w:val="right" w:leader="none" w:pos="9026"/>
      </w:tabs>
      <w:rPr>
        <w:rFonts w:ascii="Helvetica Neue" w:cs="Helvetica Neue" w:eastAsia="Helvetica Neue" w:hAnsi="Helvetica Neue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С ПОДКРЕПАТА НА  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990779" cy="469196"/>
          <wp:effectExtent b="0" l="0" r="0" t="0"/>
          <wp:docPr id="107374183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779" cy="4691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0" distT="0" distL="0" distR="0">
          <wp:extent cx="1335405" cy="798830"/>
          <wp:effectExtent b="0" l="0" r="0" t="0"/>
          <wp:docPr id="107374183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5405" cy="7988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0" distT="0" distL="0" distR="0">
          <wp:extent cx="883920" cy="883920"/>
          <wp:effectExtent b="0" l="0" r="0" t="0"/>
          <wp:docPr id="107374183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3920" cy="8839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3GoDJw1URtY8jGma42U9jFqG6g==">AMUW2mWLKCvAOeIRV2xK656CPIMNx1aY6uUyPAt+6Pt76VgJ7+gsLUcUMK9HhPEw7Uf74qX9iCS3OGXfVH5a17dynMcanKCN6wmp9O/ff0HZvlvWKhl6f+axrFDztbXFs9TxZMar8wbs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