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jc w:val="left"/>
      </w:pPr>
      <w:r>
        <w:rPr>
          <w:rFonts w:ascii="Calibri" w:hAnsi="Calibri" w:eastAsia="Microsoft YaHei"/>
          <w:b/>
          <w:color w:val="2E74B5"/>
          <w:sz w:val="20"/>
        </w:rPr>
        <w:t>CUSTOMER DELIVERY PACK</w:t>
      </w:r>
    </w:p>
    <w:p>
      <w:pPr>
        <w:spacing w:after="160"/>
        <w:jc w:val="left"/>
      </w:pPr>
      <w:r>
        <w:rPr>
          <w:rFonts w:ascii="Calibri" w:hAnsi="Calibri" w:eastAsia="Microsoft YaHei"/>
          <w:b/>
          <w:color w:val="1F4D78"/>
          <w:sz w:val="62"/>
        </w:rPr>
        <w:t>MatrixSpooll 项目交付文档</w:t>
      </w:r>
    </w:p>
    <w:p>
      <w:pPr>
        <w:spacing w:after="480"/>
        <w:jc w:val="left"/>
      </w:pPr>
      <w:r>
        <w:rPr>
          <w:rFonts w:ascii="Calibri" w:hAnsi="Calibri" w:eastAsia="Microsoft YaHei"/>
          <w:color w:val="667085"/>
          <w:sz w:val="27"/>
        </w:rPr>
        <w:t>源码、部署、安全、验收与后续维护基线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文档版本</w:t>
      </w:r>
      <w:r>
        <w:tab/>
      </w:r>
      <w:r>
        <w:rPr>
          <w:rFonts w:ascii="Calibri" w:hAnsi="Calibri" w:eastAsia="Microsoft YaHei"/>
          <w:color w:val="203040"/>
          <w:sz w:val="19"/>
        </w:rPr>
        <w:t>1.0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软件版本</w:t>
      </w:r>
      <w:r>
        <w:tab/>
      </w:r>
      <w:r>
        <w:rPr>
          <w:rFonts w:ascii="Calibri" w:hAnsi="Calibri" w:eastAsia="Microsoft YaHei"/>
          <w:color w:val="203040"/>
          <w:sz w:val="19"/>
        </w:rPr>
        <w:t>1.2.0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编制日期</w:t>
      </w:r>
      <w:r>
        <w:tab/>
      </w:r>
      <w:r>
        <w:rPr>
          <w:rFonts w:ascii="Calibri" w:hAnsi="Calibri" w:eastAsia="Microsoft YaHei"/>
          <w:color w:val="203040"/>
          <w:sz w:val="19"/>
        </w:rPr>
        <w:t>2026-08-28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适用对象</w:t>
      </w:r>
      <w:r>
        <w:tab/>
      </w:r>
      <w:r>
        <w:rPr>
          <w:rFonts w:ascii="Calibri" w:hAnsi="Calibri" w:eastAsia="Microsoft YaHei"/>
          <w:color w:val="203040"/>
          <w:sz w:val="19"/>
        </w:rPr>
        <w:t>客户项目负责人、系统管理员、运维与验收人员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软件许可</w:t>
      </w:r>
      <w:r>
        <w:tab/>
      </w:r>
      <w:r>
        <w:rPr>
          <w:rFonts w:ascii="Calibri" w:hAnsi="Calibri" w:eastAsia="Microsoft YaHei"/>
          <w:color w:val="203040"/>
          <w:sz w:val="19"/>
        </w:rPr>
        <w:t>GNU Affero General Public License v3.0</w:t>
      </w:r>
    </w:p>
    <w:p>
      <w:pPr>
        <w:spacing w:after="0"/>
      </w:pPr>
    </w:p>
    <w:p>
      <w:pPr>
        <w:spacing w:before="80" w:after="160" w:line="269" w:lineRule="auto"/>
        <w:ind w:left="173" w:right="173"/>
        <w:shd w:fill="F4F6F9"/>
        <w:pBdr>
          <w:left w:val="single" w:sz="16" w:space="6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交付说明  </w:t>
      </w:r>
      <w:r>
        <w:rPr>
          <w:rFonts w:ascii="Calibri" w:hAnsi="Calibri" w:eastAsia="Microsoft YaHei"/>
          <w:color w:val="203040"/>
          <w:sz w:val="20"/>
        </w:rPr>
        <w:t>本文档随完整源码交付，面向客户服务器本地构建与部署，不依赖公开 Git 仓库或公开镜像仓库。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1-2  </w:t>
      </w:r>
      <w:r>
        <w:rPr>
          <w:rFonts w:ascii="Calibri" w:hAnsi="Calibri" w:eastAsia="Microsoft YaHei"/>
          <w:color w:val="667085"/>
        </w:rPr>
        <w:t>交付范围与系统构成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3-4  </w:t>
      </w:r>
      <w:r>
        <w:rPr>
          <w:rFonts w:ascii="Calibri" w:hAnsi="Calibri" w:eastAsia="Microsoft YaHei"/>
          <w:color w:val="667085"/>
        </w:rPr>
        <w:t>部署准备、首次启动与公网边界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5-6  </w:t>
      </w:r>
      <w:r>
        <w:rPr>
          <w:rFonts w:ascii="Calibri" w:hAnsi="Calibri" w:eastAsia="Microsoft YaHei"/>
          <w:color w:val="667085"/>
        </w:rPr>
        <w:t>数据、备份、升级与恢复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7  </w:t>
      </w:r>
      <w:r>
        <w:rPr>
          <w:rFonts w:ascii="Calibri" w:hAnsi="Calibri" w:eastAsia="Microsoft YaHei"/>
          <w:color w:val="667085"/>
        </w:rPr>
        <w:t>验收检查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8  </w:t>
      </w:r>
      <w:r>
        <w:rPr>
          <w:rFonts w:ascii="Calibri" w:hAnsi="Calibri" w:eastAsia="Microsoft YaHei"/>
          <w:color w:val="667085"/>
        </w:rPr>
        <w:t>许可证、来源与对应源码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</w:rPr>
        <w:t xml:space="preserve">9  </w:t>
      </w:r>
      <w:r>
        <w:rPr>
          <w:rFonts w:ascii="Calibri" w:hAnsi="Calibri" w:eastAsia="Microsoft YaHei"/>
          <w:color w:val="667085"/>
        </w:rPr>
        <w:t>支持边界与签收</w:t>
      </w:r>
    </w:p>
    <w:p>
      <w:pPr>
        <w:pStyle w:val="Heading1"/>
      </w:pPr>
      <w:r>
        <w:t>1. 交付目标与边界</w:t>
      </w:r>
    </w:p>
    <w:p>
      <w:r>
        <w:rPr>
          <w:rFonts w:ascii="Calibri" w:hAnsi="Calibri" w:eastAsia="Microsoft YaHei"/>
          <w:color w:val="203040"/>
        </w:rPr>
        <w:t>本交付物用于在客户自有服务器上部署、运行和维护 MatrixSpooll。交付内容包括完整对应源码、构建与部署配置、数据库迁移、文档站、用户手册及验收基线。</w:t>
      </w:r>
    </w:p>
    <w:p>
      <w:pPr>
        <w:spacing w:before="80" w:after="160" w:line="269" w:lineRule="auto"/>
        <w:ind w:left="173" w:right="173"/>
        <w:shd w:fill="FFF7E6"/>
        <w:pBdr>
          <w:left w:val="single" w:sz="16" w:space="6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关键边界  </w:t>
      </w:r>
      <w:r>
        <w:rPr>
          <w:rFonts w:ascii="Calibri" w:hAnsi="Calibri" w:eastAsia="Microsoft YaHei"/>
          <w:color w:val="203040"/>
          <w:sz w:val="20"/>
        </w:rPr>
        <w:t>交付的是可自行构建的完整源码与部署能力；供应商 API Key、客户数据、生产密码、证书私钥和已生成媒体不进入通用源码包。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应用版本</w:t>
      </w:r>
      <w:r>
        <w:tab/>
      </w:r>
      <w:r>
        <w:rPr>
          <w:rFonts w:ascii="Calibri" w:hAnsi="Calibri" w:eastAsia="Microsoft YaHei"/>
          <w:color w:val="203040"/>
          <w:sz w:val="19"/>
        </w:rPr>
        <w:t>1.2.0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源码归档</w:t>
      </w:r>
      <w:r>
        <w:tab/>
      </w:r>
      <w:r>
        <w:rPr>
          <w:rFonts w:ascii="Calibri" w:hAnsi="Calibri" w:eastAsia="Microsoft YaHei"/>
          <w:color w:val="203040"/>
          <w:sz w:val="19"/>
        </w:rPr>
        <w:t>matrixspooll-source-1.2.0.zip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文件数量</w:t>
      </w:r>
      <w:r>
        <w:tab/>
      </w:r>
      <w:r>
        <w:rPr>
          <w:rFonts w:ascii="Calibri" w:hAnsi="Calibri" w:eastAsia="Microsoft YaHei"/>
          <w:color w:val="203040"/>
          <w:sz w:val="19"/>
        </w:rPr>
        <w:t>1949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SHA-256</w:t>
      </w:r>
      <w:r>
        <w:tab/>
      </w:r>
      <w:r>
        <w:rPr>
          <w:rFonts w:ascii="Calibri" w:hAnsi="Calibri" w:eastAsia="Microsoft YaHei"/>
          <w:color w:val="203040"/>
          <w:sz w:val="19"/>
        </w:rPr>
        <w:t>aa0f67dce42248f381aa4083dd92f56e64359d149cb45f8abfea5344186536e7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数据库</w:t>
      </w:r>
      <w:r>
        <w:tab/>
      </w:r>
      <w:r>
        <w:rPr>
          <w:rFonts w:ascii="Calibri" w:hAnsi="Calibri" w:eastAsia="Microsoft YaHei"/>
          <w:color w:val="203040"/>
          <w:sz w:val="19"/>
        </w:rPr>
        <w:t>PostgreSQL 单库；SQLite 仅用于 TESTING=true 的隔离测试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公网入口</w:t>
      </w:r>
      <w:r>
        <w:tab/>
      </w:r>
      <w:r>
        <w:rPr>
          <w:rFonts w:ascii="Calibri" w:hAnsi="Calibri" w:eastAsia="Microsoft YaHei"/>
          <w:color w:val="203040"/>
          <w:sz w:val="19"/>
        </w:rPr>
        <w:t>Nginx 仅发布 80/443；应用 1241 与 PostgreSQL 5432 不直接暴露</w:t>
      </w:r>
    </w:p>
    <w:p>
      <w:pPr>
        <w:spacing w:after="0"/>
      </w:pPr>
    </w:p>
    <w:p>
      <w:pPr>
        <w:pStyle w:val="Heading1"/>
      </w:pPr>
      <w:r>
        <w:t>2. 交付物清单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类别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主要内容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验收要点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应用源码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frontend、server、lib、agent_runtime_profile、数据库迁移与测试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可离线检查并在客户环境构建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部署配置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Dockerfile、deploy/production、Nginx、Certbot、文档站镜像定义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Compose 可解析，只有 80/443 对外发布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依赖锁定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uv.lock、package.json、pnpm-lock.yaml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构建使用交付时锁定版本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合规文件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LICENSE、NOTICE、DISCLAIMER、THIRD_PARTY_NOTICES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原样保留并随源码与镜像交付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使用文档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README 双语、文档站、用户手册、交付文档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与当前功能和部署方式一致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源码下载包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版本化 ZIP、source-manifest.json、SHA256SUMS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关于页可向登录用户提供当前版本源码</w:t>
            </w:r>
          </w:p>
        </w:tc>
      </w:tr>
    </w:tbl>
    <w:p>
      <w:pPr>
        <w:spacing w:after="0"/>
      </w:pPr>
    </w:p>
    <w:p>
      <w:pPr>
        <w:pStyle w:val="Heading2"/>
      </w:pPr>
      <w:r>
        <w:t>2.1 不进入通用交付包的内容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生产 .env、认证密码、JWT 签名密钥和供应商凭证；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PostgreSQL 数据目录、客户项目、上传素材、生成媒体和日志；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TLS 私钥、证书账户信息、客户内部网络拓扑和个人信息；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仅在开发机上存在的缓存、虚拟环境、node_modules 与测试临时目录。</w:t>
      </w:r>
    </w:p>
    <w:p>
      <w:pPr>
        <w:pStyle w:val="Heading1"/>
      </w:pPr>
      <w:r>
        <w:t>3. 系统构成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组件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职责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默认网络位置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Nginx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HTTPS、静态资源、SSE/API 反向代理、文档站鉴权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公网 80/443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MatrixSpooll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React SPA、FastAPI、任务队列、Agent Runtime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edge/database 内网，1241 expose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PostgreSQL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用户、项目身份、任务、审计与业务索引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database 内网，5432 不发布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Docs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Docusaurus 静态文档站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edge 内网，8080 expose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Certbot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证书申请与自动续期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仅访问 ACME 与共享证书卷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3040"/>
        </w:rPr>
        <w:t>项目媒体继续保存在本地磁盘的 projects/ 目录；数据库与媒体必须作为一组制定备份策略。应用启动时执行数据库迁移，但迁移不替代部署前备份。</w:t>
      </w:r>
    </w:p>
    <w:p>
      <w:pPr>
        <w:pStyle w:val="Heading1"/>
      </w:pPr>
      <w:r>
        <w:t>4. 首次部署</w:t>
      </w:r>
    </w:p>
    <w:p>
      <w:pPr>
        <w:pStyle w:val="Heading2"/>
      </w:pPr>
      <w:r>
        <w:t>4.1 环境要求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Linux 服务器、Docker Engine 与 Docker Compose v2；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指向服务器的域名或受支持的公网 IPv4，以及放行的 TCP 80/443；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足够的系统盘或独立数据盘，能够容纳 PostgreSQL、项目媒体、代理文件与备份；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客户自行申请并保管的模型供应商 API Key。</w:t>
      </w:r>
    </w:p>
    <w:p>
      <w:pPr>
        <w:pStyle w:val="Heading2"/>
      </w:pPr>
      <w:r>
        <w:t>4.2 配置与启动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03040"/>
          <w:sz w:val="18"/>
        </w:rPr>
        <w:t>cd /srv/matrixspooll/deploy/production</w:t>
        <w:br/>
        <w:t>cp .env.example .env</w:t>
        <w:br/>
        <w:t># 编辑 .env 后执行</w:t>
        <w:br/>
        <w:t>docker compose -f docker-compose.yml up -d --build</w:t>
        <w:br/>
        <w:t>docker compose -f docker-compose.yml 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必填项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要求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AUTH_PASSWORD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强随机管理员初始密码，不写入源码或交付文档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AUTH_TOKEN_SECRET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至少 32 字节随机值；HttpOnly Cookie 仍依赖它防止令牌伪造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POSTGRES_PASSWORD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随机数据库密码，当前模板建议仅使用字母数字以避免 URL 转义错误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PUBLIC_HOST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不带协议、端口或路径的域名/公网 IPv4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PUBLIC_ORIGIN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浏览器实际 HTTPS Origin，例如 https://video.example.com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CERTBOT_EMAIL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证书申请与续期通知邮箱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DECEC"/>
        <w:pBdr>
          <w:left w:val="single" w:sz="16" w:space="6" w:color="9B1C1C"/>
        </w:pBdr>
      </w:pPr>
      <w:r>
        <w:rPr>
          <w:rFonts w:ascii="Calibri" w:hAnsi="Calibri" w:eastAsia="Microsoft YaHei"/>
          <w:b/>
          <w:color w:val="9B1C1C"/>
          <w:sz w:val="20"/>
        </w:rPr>
        <w:t xml:space="preserve">安全要求  </w:t>
      </w:r>
      <w:r>
        <w:rPr>
          <w:rFonts w:ascii="Calibri" w:hAnsi="Calibri" w:eastAsia="Microsoft YaHei"/>
          <w:color w:val="203040"/>
          <w:sz w:val="20"/>
        </w:rPr>
        <w:t>不要把应用 1241 或数据库 5432 映射到公网。生产访问只经过 Nginx；防火墙仅开放 80/443 和必要的运维入口。</w:t>
      </w:r>
    </w:p>
    <w:p>
      <w:pPr>
        <w:pStyle w:val="Heading2"/>
      </w:pPr>
      <w:r>
        <w:t>4.3 启动验证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03040"/>
          <w:sz w:val="18"/>
        </w:rPr>
        <w:t>docker compose -f docker-compose.yml ps</w:t>
        <w:br/>
        <w:t>docker compose -f docker-compose.yml logs --tail=200 matrixspooll</w:t>
        <w:br/>
        <w:t>docker compose -f docker-compose.yml logs --tail=120 postgres</w:t>
        <w:br/>
        <w:t>curl -fsS https://&lt;PUBLIC_HOST&gt;/health/ready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首次打开登录页，使用 .env 中的管理员账号登录；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确认设置页、项目首页、管理端与 /docs/ 文档站均可访问；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在关于页确认 LICENSE、NOTICE 来源署名和对应源码下载入口；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配置测试供应商后分别执行图片、视频或 Agent 的最小生成任务。</w:t>
      </w:r>
    </w:p>
    <w:p>
      <w:pPr>
        <w:pStyle w:val="Heading1"/>
      </w:pPr>
      <w:r>
        <w:t>5. 数据、存储与备份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数据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默认位置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备份要求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PostgreSQL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deploy/production/pgdata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一致性快照或 pg_dump；升级前必须备份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项目与媒体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deploy/production/projects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与数据库同一恢复点备份，保留文件权限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日志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deploy/production/logs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按保留周期轮转；排障后清理敏感内容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供应商凭证密钥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projects/.credential-key 或显式环境变量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与数据库一同受控备份，丢失后旧凭证无法解密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证书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Compose 命名卷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可由 Certbot 重签；切换服务器前保留账户与恢复预案</w:t>
            </w:r>
          </w:p>
        </w:tc>
      </w:tr>
    </w:tbl>
    <w:p>
      <w:pPr>
        <w:spacing w:after="0"/>
      </w:pPr>
    </w:p>
    <w:p>
      <w:pPr>
        <w:pStyle w:val="Heading2"/>
      </w:pPr>
      <w:r>
        <w:t>5.1 恢复演练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停止写入并记录当前应用版本、数据库版本和备份时间；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恢复 PostgreSQL 与 projects/ 到同一时间点；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使用相同版本源码构建并执行数据库迁移；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验证登录、项目列表、媒体访问、任务状态、供应商凭证和源码下载；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3040"/>
        </w:rPr>
        <w:t>记录恢复时长、缺失项和下一次演练改进。</w:t>
      </w:r>
    </w:p>
    <w:p>
      <w:pPr>
        <w:pStyle w:val="Heading1"/>
      </w:pPr>
      <w:r>
        <w:t>6. 升级与回滚</w:t>
      </w:r>
    </w:p>
    <w:p>
      <w:r>
        <w:rPr>
          <w:rFonts w:ascii="Calibri" w:hAnsi="Calibri" w:eastAsia="Microsoft YaHei"/>
          <w:color w:val="203040"/>
        </w:rPr>
        <w:t>升级前创建数据库与 projects/ 一致性备份，记录当前版本与环境变量，再使用新源码重新构建。不要在没有备份的情况下直接替换 pgdata 或跨版本复用未知镜像。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203040"/>
          <w:sz w:val="18"/>
        </w:rPr>
        <w:t>cd /srv/matrixspooll/deploy/production</w:t>
        <w:br/>
        <w:t>docker compose -f docker-compose.yml down</w:t>
        <w:br/>
        <w:t># 替换为新版本完整源码并复核 .env</w:t>
        <w:br/>
        <w:t>docker compose -f docker-compose.yml up -d --build</w:t>
        <w:br/>
        <w:t>docker compose -f docker-compose.yml ps</w:t>
      </w:r>
    </w:p>
    <w:p>
      <w:pPr>
        <w:spacing w:before="80" w:after="160" w:line="269" w:lineRule="auto"/>
        <w:ind w:left="173" w:right="173"/>
        <w:shd w:fill="FFF7E6"/>
        <w:pBdr>
          <w:left w:val="single" w:sz="16" w:space="6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回滚原则  </w:t>
      </w:r>
      <w:r>
        <w:rPr>
          <w:rFonts w:ascii="Calibri" w:hAnsi="Calibri" w:eastAsia="Microsoft YaHei"/>
          <w:color w:val="203040"/>
          <w:sz w:val="20"/>
        </w:rPr>
        <w:t>代码回滚必须与数据库和项目媒体恢复点匹配。数据库迁移一旦改变结构，应按对应迁移说明回退或恢复完整备份。</w:t>
      </w:r>
    </w:p>
    <w:p>
      <w:pPr>
        <w:pStyle w:val="Heading1"/>
      </w:pPr>
      <w:r>
        <w:t>7. 验收清单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生产 Compose 完整解析，Nginx 是唯一公网入口；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管理员登录、用户管理、在线会话互斥与下线提示正常；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项目创建、项目设置、成员角色与 viewer 路由保护正常；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自由创作图片、视频、Agent 模式及项目参数记忆正常；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无限画布选择、拖拽、框选、组合、隐藏、删除、撤销与重做正常；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字幕卡片可编辑、拖拽、组合和隐藏，字幕派生关系显示正确；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项目 ZIP 只接受有效项目备份，导入成功或失败都有明确反馈；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FFmpeg 可用于视频合并、字幕、配音、缩略图与代理处理；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项目与媒体在重启后仍可访问，备份与恢复演练通过；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3040"/>
        </w:rPr>
        <w:t>关于页、文档站、LICENSE、NOTICE 和对应源码下载可访问。</w:t>
      </w:r>
    </w:p>
    <w:p>
      <w:pPr>
        <w:pStyle w:val="Heading1"/>
      </w:pPr>
      <w:r>
        <w:t>8. 许可证、来源与对应源码</w:t>
      </w:r>
    </w:p>
    <w:p>
      <w:r>
        <w:rPr>
          <w:rFonts w:ascii="Calibri" w:hAnsi="Calibri" w:eastAsia="Microsoft YaHei"/>
          <w:color w:val="203040"/>
        </w:rPr>
        <w:t>MatrixSpooll 是 ArcReel 的修改版本，整体依据 GNU Affero General Public License v3.0 提供。交付、内部部署和有偿定制不会取消许可证授予接收方及网络用户的权利。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完整保留 LICENSE 与 NOTICE，不删除上游署名、来源链接和修改版本声明；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将当前运行版本的完整对应源码与构建脚本一并交付；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通过登录后的关于页向实际网络用户提供当前版本源码下载；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不得以合同或技术措施限制接收方依 AGPL 使用、修改和再分发覆盖代码的权利；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3040"/>
        </w:rPr>
        <w:t>客户数据、剧本、图片、视频、音频和 API 凭证不因软件许可证自动改变权属。</w:t>
      </w:r>
    </w:p>
    <w:p>
      <w:pPr>
        <w:spacing w:before="80" w:after="160" w:line="269" w:lineRule="auto"/>
        <w:ind w:left="173" w:right="173"/>
        <w:shd w:fill="FFF7E6"/>
        <w:pBdr>
          <w:left w:val="single" w:sz="16" w:space="6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法律提示  </w:t>
      </w:r>
      <w:r>
        <w:rPr>
          <w:rFonts w:ascii="Calibri" w:hAnsi="Calibri" w:eastAsia="Microsoft YaHei"/>
          <w:color w:val="203040"/>
          <w:sz w:val="20"/>
        </w:rPr>
        <w:t>本节是交付执行清单，不构成针对具体合同、司法辖区或业务模式的法律意见。正式签约前应由专业法律顾问复核。</w:t>
      </w:r>
    </w:p>
    <w:p>
      <w:pPr>
        <w:pStyle w:val="Heading1"/>
      </w:pPr>
      <w:r>
        <w:t>9. 支持边界与签收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通常包含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通常不包含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交付版本可复现缺陷、部署启动、数据库迁移与文档说明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第三方模型下线、涨价、限流、审核策略或输出质量变化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已验收供应商接口的适配问题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客户自行修改源码、环境、网络或数据库导致的问题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约定期限内的使用培训和恢复协助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203040"/>
                <w:sz w:val="19"/>
              </w:rPr>
              <w:t>未列入验收清单的新功能、白标化、跨云迁移或多服务器改造</w:t>
            </w:r>
          </w:p>
        </w:tc>
      </w:tr>
    </w:tbl>
    <w:p>
      <w:pPr>
        <w:spacing w:after="0"/>
      </w:pP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交付方</w:t>
      </w:r>
      <w:r>
        <w:tab/>
      </w:r>
      <w:r>
        <w:rPr>
          <w:rFonts w:ascii="Calibri" w:hAnsi="Calibri" w:eastAsia="Microsoft YaHei"/>
          <w:color w:val="203040"/>
          <w:sz w:val="19"/>
        </w:rPr>
        <w:t>填写公司或个人名称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交付人</w:t>
      </w:r>
      <w:r>
        <w:tab/>
      </w:r>
      <w:r>
        <w:rPr>
          <w:rFonts w:ascii="Calibri" w:hAnsi="Calibri" w:eastAsia="Microsoft YaHei"/>
          <w:color w:val="203040"/>
          <w:sz w:val="19"/>
        </w:rPr>
        <w:t>填写姓名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交付日期</w:t>
      </w:r>
      <w:r>
        <w:tab/>
      </w:r>
      <w:r>
        <w:rPr>
          <w:rFonts w:ascii="Calibri" w:hAnsi="Calibri" w:eastAsia="Microsoft YaHei"/>
          <w:color w:val="203040"/>
          <w:sz w:val="19"/>
        </w:rPr>
        <w:t>填写实际日期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客户</w:t>
      </w:r>
      <w:r>
        <w:tab/>
      </w:r>
      <w:r>
        <w:rPr>
          <w:rFonts w:ascii="Calibri" w:hAnsi="Calibri" w:eastAsia="Microsoft YaHei"/>
          <w:color w:val="203040"/>
          <w:sz w:val="19"/>
        </w:rPr>
        <w:t>填写客户名称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验收人</w:t>
      </w:r>
      <w:r>
        <w:tab/>
      </w:r>
      <w:r>
        <w:rPr>
          <w:rFonts w:ascii="Calibri" w:hAnsi="Calibri" w:eastAsia="Microsoft YaHei"/>
          <w:color w:val="203040"/>
          <w:sz w:val="19"/>
        </w:rPr>
        <w:t>填写姓名</w:t>
      </w:r>
    </w:p>
    <w:p>
      <w:pPr>
        <w:tabs>
          <w:tab w:pos="2700" w:val="left"/>
        </w:tabs>
        <w:spacing w:before="0" w:after="60" w:line="259" w:lineRule="auto"/>
        <w:ind w:left="120"/>
        <w:shd w:fill="F2F4F7"/>
      </w:pPr>
      <w:r>
        <w:rPr>
          <w:rFonts w:ascii="Calibri" w:hAnsi="Calibri" w:eastAsia="Microsoft YaHei"/>
          <w:b/>
          <w:color w:val="1F4D78"/>
          <w:sz w:val="19"/>
        </w:rPr>
        <w:t>验收日期</w:t>
      </w:r>
      <w:r>
        <w:tab/>
      </w:r>
      <w:r>
        <w:rPr>
          <w:rFonts w:ascii="Calibri" w:hAnsi="Calibri" w:eastAsia="Microsoft YaHei"/>
          <w:color w:val="203040"/>
          <w:sz w:val="19"/>
        </w:rPr>
        <w:t>填写实际日期</w:t>
      </w:r>
    </w:p>
    <w:p>
      <w:pPr>
        <w:spacing w:after="0"/>
      </w:pPr>
    </w:p>
    <w:p>
      <w:r>
        <w:rPr>
          <w:rFonts w:ascii="Calibri" w:hAnsi="Calibri" w:eastAsia="Microsoft YaHei"/>
          <w:color w:val="203040"/>
        </w:rPr>
        <w:t>双方签字或盖章应以正式合同和验收单为准。本文件用于说明技术交付基线，不替代商务合同。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MatrixSpooll  |  </w:t>
    </w:r>
    <w:fldSimple w:instr="PAGE">
      <w:r>
        <w:rPr>
          <w:color w:val="667085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MatrixSpooll | 项目交付文档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□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264"/>
    </w:pPr>
    <w:rPr>
      <w:rFonts w:ascii="Calibri" w:hAnsi="Calibri" w:eastAsia="Microsoft YaHei"/>
      <w:b w:val="0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Rule="auto" w:line="2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Rule="auto" w:line="240"/>
      <w:ind w:left="259" w:right="259"/>
    </w:pPr>
    <w:rPr>
      <w:rFonts w:ascii="Consolas" w:hAnsi="Consolas" w:eastAsia="Microsoft YaHei"/>
      <w:b w:val="0"/>
      <w:color w:val="203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MatrixSpooll 项目交付文档</dc:title>
  <dc:subject>源码、部署、验收与许可证交付说明</dc:subject>
  <dc:creator>MatrixSpooll</dc:creator>
  <cp:keywords>MatrixSpooll, AI video, delivery,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