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60"/>
        <w:jc w:val="center"/>
      </w:pPr>
      <w:r>
        <w:rPr>
          <w:rFonts w:ascii="Calibri" w:hAnsi="Calibri" w:eastAsia="Microsoft YaHei"/>
          <w:b/>
          <w:color w:val="2E74B5"/>
          <w:sz w:val="20"/>
        </w:rPr>
        <w:t>OPERATOR REFERENCE GUIDE</w:t>
      </w:r>
    </w:p>
    <w:p>
      <w:pPr>
        <w:spacing w:after="160"/>
        <w:jc w:val="center"/>
      </w:pPr>
      <w:r>
        <w:rPr>
          <w:rFonts w:ascii="Calibri" w:hAnsi="Calibri" w:eastAsia="Microsoft YaHei"/>
          <w:b/>
          <w:color w:val="1F4D78"/>
          <w:sz w:val="60"/>
        </w:rPr>
        <w:t>MatrixSpooll 用户手册</w:t>
      </w:r>
    </w:p>
    <w:p>
      <w:pPr>
        <w:spacing w:after="480"/>
        <w:jc w:val="center"/>
      </w:pPr>
      <w:r>
        <w:rPr>
          <w:rFonts w:ascii="Calibri" w:hAnsi="Calibri" w:eastAsia="Microsoft YaHei"/>
          <w:color w:val="667085"/>
          <w:sz w:val="27"/>
        </w:rPr>
        <w:t>从首次登录到自由创作、无限画布与项目协作</w:t>
      </w:r>
    </w:p>
    <w:p>
      <w:pPr>
        <w:tabs>
          <w:tab w:pos="2700" w:val="left"/>
        </w:tabs>
        <w:spacing w:before="0" w:after="60" w:line="259" w:lineRule="auto"/>
        <w:ind w:left="120"/>
        <w:shd w:fill="F2F4F7"/>
      </w:pPr>
      <w:r>
        <w:rPr>
          <w:rFonts w:ascii="Calibri" w:hAnsi="Calibri" w:eastAsia="Microsoft YaHei"/>
          <w:b/>
          <w:color w:val="1F4D78"/>
          <w:sz w:val="19"/>
        </w:rPr>
        <w:t>文档版本</w:t>
      </w:r>
      <w:r>
        <w:tab/>
      </w:r>
      <w:r>
        <w:rPr>
          <w:rFonts w:ascii="Calibri" w:hAnsi="Calibri" w:eastAsia="Microsoft YaHei"/>
          <w:color w:val="203040"/>
          <w:sz w:val="19"/>
        </w:rPr>
        <w:t>1.0</w:t>
      </w:r>
    </w:p>
    <w:p>
      <w:pPr>
        <w:tabs>
          <w:tab w:pos="2700" w:val="left"/>
        </w:tabs>
        <w:spacing w:before="0" w:after="60" w:line="259" w:lineRule="auto"/>
        <w:ind w:left="120"/>
        <w:shd w:fill="F2F4F7"/>
      </w:pPr>
      <w:r>
        <w:rPr>
          <w:rFonts w:ascii="Calibri" w:hAnsi="Calibri" w:eastAsia="Microsoft YaHei"/>
          <w:b/>
          <w:color w:val="1F4D78"/>
          <w:sz w:val="19"/>
        </w:rPr>
        <w:t>软件版本</w:t>
      </w:r>
      <w:r>
        <w:tab/>
      </w:r>
      <w:r>
        <w:rPr>
          <w:rFonts w:ascii="Calibri" w:hAnsi="Calibri" w:eastAsia="Microsoft YaHei"/>
          <w:color w:val="203040"/>
          <w:sz w:val="19"/>
        </w:rPr>
        <w:t>1.2.0</w:t>
      </w:r>
    </w:p>
    <w:p>
      <w:pPr>
        <w:tabs>
          <w:tab w:pos="2700" w:val="left"/>
        </w:tabs>
        <w:spacing w:before="0" w:after="60" w:line="259" w:lineRule="auto"/>
        <w:ind w:left="120"/>
        <w:shd w:fill="F2F4F7"/>
      </w:pPr>
      <w:r>
        <w:rPr>
          <w:rFonts w:ascii="Calibri" w:hAnsi="Calibri" w:eastAsia="Microsoft YaHei"/>
          <w:b/>
          <w:color w:val="1F4D78"/>
          <w:sz w:val="19"/>
        </w:rPr>
        <w:t>编制日期</w:t>
      </w:r>
      <w:r>
        <w:tab/>
      </w:r>
      <w:r>
        <w:rPr>
          <w:rFonts w:ascii="Calibri" w:hAnsi="Calibri" w:eastAsia="Microsoft YaHei"/>
          <w:color w:val="203040"/>
          <w:sz w:val="19"/>
        </w:rPr>
        <w:t>2026-08-28</w:t>
      </w:r>
    </w:p>
    <w:p>
      <w:pPr>
        <w:tabs>
          <w:tab w:pos="2700" w:val="left"/>
        </w:tabs>
        <w:spacing w:before="0" w:after="60" w:line="259" w:lineRule="auto"/>
        <w:ind w:left="120"/>
        <w:shd w:fill="F2F4F7"/>
      </w:pPr>
      <w:r>
        <w:rPr>
          <w:rFonts w:ascii="Calibri" w:hAnsi="Calibri" w:eastAsia="Microsoft YaHei"/>
          <w:b/>
          <w:color w:val="1F4D78"/>
          <w:sz w:val="19"/>
        </w:rPr>
        <w:t>适用对象</w:t>
      </w:r>
      <w:r>
        <w:tab/>
      </w:r>
      <w:r>
        <w:rPr>
          <w:rFonts w:ascii="Calibri" w:hAnsi="Calibri" w:eastAsia="Microsoft YaHei"/>
          <w:color w:val="203040"/>
          <w:sz w:val="19"/>
        </w:rPr>
        <w:t>普通用户、项目所有者、编辑者、查看者与系统管理员</w:t>
      </w:r>
    </w:p>
    <w:p>
      <w:pPr>
        <w:tabs>
          <w:tab w:pos="2700" w:val="left"/>
        </w:tabs>
        <w:spacing w:before="0" w:after="60" w:line="259" w:lineRule="auto"/>
        <w:ind w:left="120"/>
        <w:shd w:fill="F2F4F7"/>
      </w:pPr>
      <w:r>
        <w:rPr>
          <w:rFonts w:ascii="Calibri" w:hAnsi="Calibri" w:eastAsia="Microsoft YaHei"/>
          <w:b/>
          <w:color w:val="1F4D78"/>
          <w:sz w:val="19"/>
        </w:rPr>
        <w:t>软件许可</w:t>
      </w:r>
      <w:r>
        <w:tab/>
      </w:r>
      <w:r>
        <w:rPr>
          <w:rFonts w:ascii="Calibri" w:hAnsi="Calibri" w:eastAsia="Microsoft YaHei"/>
          <w:color w:val="203040"/>
          <w:sz w:val="19"/>
        </w:rPr>
        <w:t>GNU Affero General Public License v3.0</w:t>
      </w:r>
    </w:p>
    <w:p>
      <w:pPr>
        <w:spacing w:after="0"/>
      </w:pPr>
    </w:p>
    <w:p>
      <w:pPr>
        <w:spacing w:before="80" w:after="160" w:line="269" w:lineRule="auto"/>
        <w:ind w:left="173" w:right="173"/>
        <w:shd w:fill="F4F6F9"/>
        <w:pBdr>
          <w:left w:val="single" w:sz="16" w:space="6" w:color="1F4D78"/>
        </w:pBdr>
      </w:pPr>
      <w:r>
        <w:rPr>
          <w:rFonts w:ascii="Calibri" w:hAnsi="Calibri" w:eastAsia="Microsoft YaHei"/>
          <w:b/>
          <w:color w:val="1F4D78"/>
          <w:sz w:val="20"/>
        </w:rPr>
        <w:t xml:space="preserve">交付说明  </w:t>
      </w:r>
      <w:r>
        <w:rPr>
          <w:rFonts w:ascii="Calibri" w:hAnsi="Calibri" w:eastAsia="Microsoft YaHei"/>
          <w:color w:val="203040"/>
          <w:sz w:val="20"/>
        </w:rPr>
        <w:t>本文档随完整源码交付，面向客户服务器本地构建与部署，不依赖公开 Git 仓库或公开镜像仓库。</w:t>
      </w:r>
    </w:p>
    <w:p>
      <w:r>
        <w:br w:type="page"/>
      </w:r>
    </w:p>
    <w:p>
      <w:pPr>
        <w:pStyle w:val="Heading1"/>
      </w:pPr>
      <w:r>
        <w:t>阅读导航</w:t>
      </w:r>
    </w:p>
    <w:p>
      <w:pPr>
        <w:spacing w:after="80"/>
      </w:pPr>
      <w:r>
        <w:rPr>
          <w:rFonts w:ascii="Calibri" w:hAnsi="Calibri" w:eastAsia="Microsoft YaHei"/>
          <w:b/>
          <w:color w:val="1F4D78"/>
        </w:rPr>
        <w:t xml:space="preserve">1-2  </w:t>
      </w:r>
      <w:r>
        <w:rPr>
          <w:rFonts w:ascii="Calibri" w:hAnsi="Calibri" w:eastAsia="Microsoft YaHei"/>
          <w:color w:val="667085"/>
        </w:rPr>
        <w:t>账号、角色与首页</w:t>
      </w:r>
    </w:p>
    <w:p>
      <w:pPr>
        <w:spacing w:after="80"/>
      </w:pPr>
      <w:r>
        <w:rPr>
          <w:rFonts w:ascii="Calibri" w:hAnsi="Calibri" w:eastAsia="Microsoft YaHei"/>
          <w:b/>
          <w:color w:val="1F4D78"/>
        </w:rPr>
        <w:t xml:space="preserve">3-4  </w:t>
      </w:r>
      <w:r>
        <w:rPr>
          <w:rFonts w:ascii="Calibri" w:hAnsi="Calibri" w:eastAsia="Microsoft YaHei"/>
          <w:color w:val="667085"/>
        </w:rPr>
        <w:t>自由创作与生成参数</w:t>
      </w:r>
    </w:p>
    <w:p>
      <w:pPr>
        <w:spacing w:after="80"/>
      </w:pPr>
      <w:r>
        <w:rPr>
          <w:rFonts w:ascii="Calibri" w:hAnsi="Calibri" w:eastAsia="Microsoft YaHei"/>
          <w:b/>
          <w:color w:val="1F4D78"/>
        </w:rPr>
        <w:t xml:space="preserve">5  </w:t>
      </w:r>
      <w:r>
        <w:rPr>
          <w:rFonts w:ascii="Calibri" w:hAnsi="Calibri" w:eastAsia="Microsoft YaHei"/>
          <w:color w:val="667085"/>
        </w:rPr>
        <w:t>参考素材与首尾帧</w:t>
      </w:r>
    </w:p>
    <w:p>
      <w:pPr>
        <w:spacing w:after="80"/>
      </w:pPr>
      <w:r>
        <w:rPr>
          <w:rFonts w:ascii="Calibri" w:hAnsi="Calibri" w:eastAsia="Microsoft YaHei"/>
          <w:b/>
          <w:color w:val="1F4D78"/>
        </w:rPr>
        <w:t xml:space="preserve">6-7  </w:t>
      </w:r>
      <w:r>
        <w:rPr>
          <w:rFonts w:ascii="Calibri" w:hAnsi="Calibri" w:eastAsia="Microsoft YaHei"/>
          <w:color w:val="667085"/>
        </w:rPr>
        <w:t>无限画布、字幕、配音与视频处理</w:t>
      </w:r>
    </w:p>
    <w:p>
      <w:pPr>
        <w:spacing w:after="80"/>
      </w:pPr>
      <w:r>
        <w:rPr>
          <w:rFonts w:ascii="Calibri" w:hAnsi="Calibri" w:eastAsia="Microsoft YaHei"/>
          <w:b/>
          <w:color w:val="1F4D78"/>
        </w:rPr>
        <w:t xml:space="preserve">8  </w:t>
      </w:r>
      <w:r>
        <w:rPr>
          <w:rFonts w:ascii="Calibri" w:hAnsi="Calibri" w:eastAsia="Microsoft YaHei"/>
          <w:color w:val="667085"/>
        </w:rPr>
        <w:t>固定工作流与项目协作</w:t>
      </w:r>
    </w:p>
    <w:p>
      <w:pPr>
        <w:spacing w:after="80"/>
      </w:pPr>
      <w:r>
        <w:rPr>
          <w:rFonts w:ascii="Calibri" w:hAnsi="Calibri" w:eastAsia="Microsoft YaHei"/>
          <w:b/>
          <w:color w:val="1F4D78"/>
        </w:rPr>
        <w:t xml:space="preserve">9  </w:t>
      </w:r>
      <w:r>
        <w:rPr>
          <w:rFonts w:ascii="Calibri" w:hAnsi="Calibri" w:eastAsia="Microsoft YaHei"/>
          <w:color w:val="667085"/>
        </w:rPr>
        <w:t>导入、导出与数据安全</w:t>
      </w:r>
    </w:p>
    <w:p>
      <w:pPr>
        <w:spacing w:after="80"/>
      </w:pPr>
      <w:r>
        <w:rPr>
          <w:rFonts w:ascii="Calibri" w:hAnsi="Calibri" w:eastAsia="Microsoft YaHei"/>
          <w:b/>
          <w:color w:val="1F4D78"/>
        </w:rPr>
        <w:t xml:space="preserve">10  </w:t>
      </w:r>
      <w:r>
        <w:rPr>
          <w:rFonts w:ascii="Calibri" w:hAnsi="Calibri" w:eastAsia="Microsoft YaHei"/>
          <w:color w:val="667085"/>
        </w:rPr>
        <w:t>快捷键、故障处理与合规</w:t>
      </w:r>
    </w:p>
    <w:p>
      <w:pPr>
        <w:pStyle w:val="Heading1"/>
      </w:pPr>
      <w:r>
        <w:t>1. 登录与账号</w:t>
      </w:r>
    </w:p>
    <w:p>
      <w:r>
        <w:rPr>
          <w:rFonts w:ascii="Calibri" w:hAnsi="Calibri" w:eastAsia="Microsoft YaHei"/>
          <w:color w:val="203040"/>
        </w:rPr>
        <w:t>使用管理员分配的用户名和密码登录。系统采用同账号会话互斥：同一账号在新的浏览器或设备登录后，旧会话会实时收到下线提示并退出。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900"/>
        <w:gridCol w:w="4300"/>
        <w:gridCol w:w="31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角色</w:t>
            </w:r>
          </w:p>
        </w:tc>
        <w:tc>
          <w:tcPr>
            <w:tcW w:type="dxa" w:w="4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主要能力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限制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系统管理员</w:t>
            </w:r>
          </w:p>
        </w:tc>
        <w:tc>
          <w:tcPr>
            <w:tcW w:type="dxa" w:w="4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账号、在线会话、系统日志、供应商和系统配置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仍受项目成员角色约束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项目所有者</w:t>
            </w:r>
          </w:p>
        </w:tc>
        <w:tc>
          <w:tcPr>
            <w:tcW w:type="dxa" w:w="4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项目设置、成员管理、角色调整、所有权转移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不可绕过系统级安全设置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编辑者</w:t>
            </w:r>
          </w:p>
        </w:tc>
        <w:tc>
          <w:tcPr>
            <w:tcW w:type="dxa" w:w="4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编辑项目内容、生成媒体、操作画布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不能转移所有权或执行仅 owner 操作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查看者</w:t>
            </w:r>
          </w:p>
        </w:tc>
        <w:tc>
          <w:tcPr>
            <w:tcW w:type="dxa" w:w="4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查看项目和产物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不显示项目设置入口，路由也会拒绝访问</w:t>
            </w:r>
          </w:p>
        </w:tc>
      </w:tr>
    </w:tbl>
    <w:p>
      <w:pPr>
        <w:spacing w:after="0"/>
      </w:pPr>
    </w:p>
    <w:p>
      <w:pPr>
        <w:spacing w:before="80" w:after="160" w:line="269" w:lineRule="auto"/>
        <w:ind w:left="173" w:right="173"/>
        <w:shd w:fill="F4F6F9"/>
        <w:pBdr>
          <w:left w:val="single" w:sz="16" w:space="6" w:color="1F4D78"/>
        </w:pBdr>
      </w:pPr>
      <w:r>
        <w:rPr>
          <w:rFonts w:ascii="Calibri" w:hAnsi="Calibri" w:eastAsia="Microsoft YaHei"/>
          <w:b/>
          <w:color w:val="1F4D78"/>
          <w:sz w:val="20"/>
        </w:rPr>
        <w:t xml:space="preserve">语言切换  </w:t>
      </w:r>
      <w:r>
        <w:rPr>
          <w:rFonts w:ascii="Calibri" w:hAnsi="Calibri" w:eastAsia="Microsoft YaHei"/>
          <w:color w:val="203040"/>
          <w:sz w:val="20"/>
        </w:rPr>
        <w:t>语言入口位于顶部栏，不依赖系统设置权限。普通用户也可以切换中文、英文或越南语。</w:t>
      </w:r>
    </w:p>
    <w:p>
      <w:pPr>
        <w:pStyle w:val="Heading1"/>
      </w:pPr>
      <w:r>
        <w:t>2. 首页与项目</w:t>
      </w:r>
    </w:p>
    <w:p>
      <w:r>
        <w:rPr>
          <w:rFonts w:ascii="Calibri" w:hAnsi="Calibri" w:eastAsia="Microsoft YaHei"/>
          <w:color w:val="203040"/>
        </w:rPr>
        <w:t>登录后进入 /app 首页。首页上方是创作输入框，下方是最近项目；筛选项目不会刷新整个浏览器页面。输入提示词并立即生成时，系统默认创建自由创作项目，并从输入内容截取简短项目名称。</w:t>
      </w:r>
    </w:p>
    <w:p>
      <w:pPr>
        <w:pStyle w:val="Heading2"/>
      </w:pPr>
      <w:r>
        <w:t>2.1 创建方式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100"/>
        <w:gridCol w:w="3600"/>
        <w:gridCol w:w="3660"/>
      </w:tblGrid>
      <w:tr>
        <w:trPr>
          <w:tblHeader w:val="true"/>
        </w:trP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方式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适用场景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特点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首页直接输入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快速生成图片、视频或让 Agent 编排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默认自由创作，创建项目后立即提交任务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新建项目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需要先明确内容模式、生成路线与画幅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项目参数作为首次进入的默认值</w:t>
            </w:r>
          </w:p>
        </w:tc>
      </w:tr>
      <w:tr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导入项目 ZIP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恢复 MatrixSpooll 导出的完整项目备份</w:t>
            </w:r>
          </w:p>
        </w:tc>
        <w:tc>
          <w:tcPr>
            <w:tcW w:type="dxa" w:w="3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只接受有效项目 ZIP，其他压缩包会给出错误提示</w:t>
            </w:r>
          </w:p>
        </w:tc>
      </w:tr>
    </w:tbl>
    <w:p>
      <w:pPr>
        <w:spacing w:after="0"/>
      </w:pPr>
    </w:p>
    <w:p>
      <w:pPr>
        <w:pStyle w:val="Heading2"/>
      </w:pPr>
      <w:r>
        <w:t>2.2 项目卡片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单击项目卡片进入项目；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右键或单击更多按钮打开项目设置、项目成员和删除操作；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viewer 不显示项目设置入口，直接输入设置路由也会被拒绝；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删除项目前会二次确认，删除后项目数据不再出现在项目列表。</w:t>
      </w:r>
    </w:p>
    <w:p>
      <w:pPr>
        <w:pStyle w:val="Heading1"/>
      </w:pPr>
      <w:r>
        <w:t>3. 输入框的三种模式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800"/>
        <w:gridCol w:w="4600"/>
        <w:gridCol w:w="2960"/>
      </w:tblGrid>
      <w:tr>
        <w:trPr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模式</w:t>
            </w:r>
          </w:p>
        </w:tc>
        <w:tc>
          <w:tcPr>
            <w:tcW w:type="dxa" w:w="4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默认行为</w:t>
            </w:r>
          </w:p>
        </w:tc>
        <w:tc>
          <w:tcPr>
            <w:tcW w:type="dxa" w:w="2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需要的模型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Agent</w:t>
            </w:r>
          </w:p>
        </w:tc>
        <w:tc>
          <w:tcPr>
            <w:tcW w:type="dxa" w:w="4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自动理解目标并选择图片/视频、模型、分辨率和比例；自定义模式可覆盖</w:t>
            </w:r>
          </w:p>
        </w:tc>
        <w:tc>
          <w:tcPr>
            <w:tcW w:type="dxa" w:w="2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可用的 Agent/文本模型，以及任务实际使用的图片或视频模型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生成图片</w:t>
            </w:r>
          </w:p>
        </w:tc>
        <w:tc>
          <w:tcPr>
            <w:tcW w:type="dxa" w:w="4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提示词直接提交图片生成，宽高随比例与分辨率联动</w:t>
            </w:r>
          </w:p>
        </w:tc>
        <w:tc>
          <w:tcPr>
            <w:tcW w:type="dxa" w:w="2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图片模型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生成视频</w:t>
            </w:r>
          </w:p>
        </w:tc>
        <w:tc>
          <w:tcPr>
            <w:tcW w:type="dxa" w:w="4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提示词直接提交视频模型，不经过图片模型或文本模型</w:t>
            </w:r>
          </w:p>
        </w:tc>
        <w:tc>
          <w:tcPr>
            <w:tcW w:type="dxa" w:w="2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视频模型</w:t>
            </w:r>
          </w:p>
        </w:tc>
      </w:tr>
    </w:tbl>
    <w:p>
      <w:pPr>
        <w:spacing w:after="0"/>
      </w:pPr>
    </w:p>
    <w:p>
      <w:pPr>
        <w:spacing w:before="80" w:after="160" w:line="269" w:lineRule="auto"/>
        <w:ind w:left="173" w:right="173"/>
        <w:shd w:fill="F4F6F9"/>
        <w:pBdr>
          <w:left w:val="single" w:sz="16" w:space="6" w:color="1F4D78"/>
        </w:pBdr>
      </w:pPr>
      <w:r>
        <w:rPr>
          <w:rFonts w:ascii="Calibri" w:hAnsi="Calibri" w:eastAsia="Microsoft YaHei"/>
          <w:b/>
          <w:color w:val="1F4D78"/>
          <w:sz w:val="20"/>
        </w:rPr>
        <w:t xml:space="preserve">自由视频的依赖  </w:t>
      </w:r>
      <w:r>
        <w:rPr>
          <w:rFonts w:ascii="Calibri" w:hAnsi="Calibri" w:eastAsia="Microsoft YaHei"/>
          <w:color w:val="203040"/>
          <w:sz w:val="20"/>
        </w:rPr>
        <w:t>纯提示词自由视频只需要配置可用的视频模型。只有启用 Agent 理解、图片生成或图片编辑时，才需要相应的文本或图片模型。</w:t>
      </w:r>
    </w:p>
    <w:p>
      <w:pPr>
        <w:pStyle w:val="Heading2"/>
      </w:pPr>
      <w:r>
        <w:t>3.1 自动模式与手动覆盖</w:t>
      </w:r>
    </w:p>
    <w:p>
      <w:r>
        <w:rPr>
          <w:rFonts w:ascii="Calibri" w:hAnsi="Calibri" w:eastAsia="Microsoft YaHei"/>
          <w:color w:val="203040"/>
        </w:rPr>
        <w:t>Agent 自动模式把生成偏好交给 Agent 判断，不要求用户逐项设置模型和分辨率。切换到图片或视频偏好后，可在右侧模型列表中搜索并选择具体模型，再设置其能力范围内的参数。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模型列表支持输入检索并限制高度滚动；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切换模型后，比例、分辨率、时长和引用方式会重新校验；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供应商没有声明的能力不会被当作已支持；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入队前发现不支持的组合时，系统应提示原因，不静默替换为其他值。</w:t>
      </w:r>
    </w:p>
    <w:p>
      <w:pPr>
        <w:pStyle w:val="Heading1"/>
      </w:pPr>
      <w:r>
        <w:t>4. 图片与视频参数</w:t>
      </w:r>
    </w:p>
    <w:p>
      <w:pPr>
        <w:pStyle w:val="Heading2"/>
      </w:pPr>
      <w:r>
        <w:t>4.1 图片模式</w:t>
      </w:r>
    </w:p>
    <w:p>
      <w:r>
        <w:rPr>
          <w:rFonts w:ascii="Calibri" w:hAnsi="Calibri" w:eastAsia="Microsoft YaHei"/>
          <w:color w:val="203040"/>
        </w:rPr>
        <w:t>图片分辨率由当前模型能力决定，不统一展示模型不支持的 4K，也不把 512 px 作为面向用户的默认档位。选择比例或分辨率后，宽高会联动；高级用户可以手动输入尺寸，系统再按比例和模型边界校正。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参数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模型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决定可用分辨率、尺寸范围、编辑和参考图能力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比例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常用画幅选择；与宽高尺寸联动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分辨率/尺寸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只能落在模型声明的最小、最大和步进范围内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生成数量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一次请求的图片数量；受供应商能力和费用影响</w:t>
            </w:r>
          </w:p>
        </w:tc>
      </w:tr>
    </w:tbl>
    <w:p>
      <w:pPr>
        <w:spacing w:after="0"/>
      </w:pPr>
    </w:p>
    <w:p>
      <w:pPr>
        <w:pStyle w:val="Heading2"/>
      </w:pPr>
      <w:r>
        <w:t>4.2 视频模式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参数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模型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决定支持的比例、分辨率、时长、首尾帧和参考素材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分辨率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只显示当前模型声明支持的档位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比例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项目创建时的比例作为首次默认值，后续按项目保留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时长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只能选择供应商支持的值；不统一假定所有模型都支持 30 秒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生成数量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控制本次生成任务数量；费用按供应商实际计费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  <w:color w:val="203040"/>
        </w:rPr>
        <w:t>离开项目后再次进入，模型、比例、分辨率、数量和时长会恢复该项目最近一次有效选择，不会回到全局默认值。</w:t>
      </w:r>
    </w:p>
    <w:p>
      <w:pPr>
        <w:pStyle w:val="Heading1"/>
      </w:pPr>
      <w:r>
        <w:t>5. 参考素材与首尾帧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200"/>
        <w:gridCol w:w="3900"/>
        <w:gridCol w:w="3260"/>
      </w:tblGrid>
      <w:tr>
        <w:trPr>
          <w:tblHeader w:val="true"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引用方式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界面行为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内部映射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全能参考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一个添加卡片；按文件类型自动识别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图片/视频/音频/提示上下文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首尾帧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两个独立添加卡片，中间可交换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首帧与尾帧角色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画布引用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Ctrl + 单击素材加入当前创作请求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保留素材 ID 与引用角色</w:t>
            </w:r>
          </w:p>
        </w:tc>
      </w:tr>
    </w:tbl>
    <w:p>
      <w:pPr>
        <w:spacing w:after="0"/>
      </w:pP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普通单击用于选择，双击用于预览，避免与引用操作冲突；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上传后的引用在输入框内显示为可移除的素材气泡；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图片、视频、音频按类型自动映射，不向用户暴露 reference_image 等内部参数名；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文本参考支持常见的 txt、md、doc、docx 等文件，用于剧本或剧情描述；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首尾帧入口只在当前视频模型声明支持时显示。</w:t>
      </w:r>
    </w:p>
    <w:p>
      <w:pPr>
        <w:pStyle w:val="Heading1"/>
      </w:pPr>
      <w:r>
        <w:t>6. 无限画布</w:t>
      </w:r>
    </w:p>
    <w:p>
      <w:r>
        <w:rPr>
          <w:rFonts w:ascii="Calibri" w:hAnsi="Calibri" w:eastAsia="Microsoft YaHei"/>
          <w:color w:val="203040"/>
        </w:rPr>
        <w:t>无限画布用于组织上传素材、生成结果、字幕轨和派生关系。画布允许自由平移，不会被素材包围框锁住；缩放下限为 40%。</w:t>
      </w:r>
    </w:p>
    <w:p>
      <w:pPr>
        <w:pStyle w:val="Heading2"/>
      </w:pPr>
      <w:r>
        <w:t>6.1 选择与移动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单击选择一个元素；在空白区域拖出框选矩形可选择多个元素；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拖动卡片时不会再次触发文件上传；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靠近其他元素的边缘或中心线时显示智能参考线，并在阈值内吸附；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鼠标悬停卡片会显示选中反馈，视频卡片保留播放操作；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双击图片、视频或文本以自适应窗口预览，不裁切 21:9 等宽画幅。</w:t>
      </w:r>
    </w:p>
    <w:p>
      <w:pPr>
        <w:pStyle w:val="Heading2"/>
      </w:pPr>
      <w:r>
        <w:t>6.2 右键菜单与批量操作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操作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行为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组合/取消组合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把多个画布节点作为一组移动；不会复制生成产物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隐藏/恢复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只改变画布可见性，不删除文件和任务记录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删除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删除对应画布元素或失败卡片；批量选择时执行批量删除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引用所选附件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只在多选素材适用时显示；避免同时出现意义重复的单项引用命令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排列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对当前选择进行整理，减少重叠</w:t>
            </w:r>
          </w:p>
        </w:tc>
      </w:tr>
    </w:tbl>
    <w:p>
      <w:pPr>
        <w:spacing w:after="0"/>
      </w:pPr>
    </w:p>
    <w:p>
      <w:pPr>
        <w:spacing w:before="80" w:after="160" w:line="269" w:lineRule="auto"/>
        <w:ind w:left="173" w:right="173"/>
        <w:shd w:fill="FFF7E6"/>
        <w:pBdr>
          <w:left w:val="single" w:sz="16" w:space="6" w:color="7A5A00"/>
        </w:pBdr>
      </w:pPr>
      <w:r>
        <w:rPr>
          <w:rFonts w:ascii="Calibri" w:hAnsi="Calibri" w:eastAsia="Microsoft YaHei"/>
          <w:b/>
          <w:color w:val="7A5A00"/>
          <w:sz w:val="20"/>
        </w:rPr>
        <w:t xml:space="preserve">撤销与重做  </w:t>
      </w:r>
      <w:r>
        <w:rPr>
          <w:rFonts w:ascii="Calibri" w:hAnsi="Calibri" w:eastAsia="Microsoft YaHei"/>
          <w:color w:val="203040"/>
          <w:sz w:val="20"/>
        </w:rPr>
        <w:t>使用 Ctrl + Z 撤销，Ctrl + Y 重做。移动、隐藏、删除与批量操作进入同一历史记录；删除生成文件前仍应确认业务后果。</w:t>
      </w:r>
    </w:p>
    <w:p>
      <w:pPr>
        <w:pStyle w:val="Heading1"/>
      </w:pPr>
      <w:r>
        <w:t>7. 字幕、配音与视频处理</w:t>
      </w:r>
    </w:p>
    <w:p>
      <w:pPr>
        <w:pStyle w:val="Heading2"/>
      </w:pPr>
      <w:r>
        <w:t>7.1 字幕卡片</w:t>
      </w:r>
    </w:p>
    <w:p>
      <w:r>
        <w:rPr>
          <w:rFonts w:ascii="Calibri" w:hAnsi="Calibri" w:eastAsia="Microsoft YaHei"/>
          <w:color w:val="203040"/>
        </w:rPr>
        <w:t>字幕轨是独立画布节点，可以选择、拖拽、双击编辑、右键打开菜单，也可以与视频组合、独立隐藏、恢复或删除。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状态</w:t>
            </w:r>
          </w:p>
        </w:tc>
        <w:tc>
          <w:tcPr>
            <w:tcW w:type="dxa" w:w="6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画布关系</w:t>
            </w:r>
          </w:p>
        </w:tc>
      </w:tr>
      <w:tr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已创建字幕，尚未生成字幕视频</w:t>
            </w:r>
          </w:p>
        </w:tc>
        <w:tc>
          <w:tcPr>
            <w:tcW w:type="dxa" w:w="6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源视频 → 字幕</w:t>
            </w:r>
          </w:p>
        </w:tc>
      </w:tr>
      <w:tr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已使用字幕生成视频</w:t>
            </w:r>
          </w:p>
        </w:tc>
        <w:tc>
          <w:tcPr>
            <w:tcW w:type="dxa" w:w="6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源视频 → 带字幕视频；字幕 → 带字幕视频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  <w:color w:val="203040"/>
        </w:rPr>
        <w:t>生成字幕视频后，画布不再显示冗余的“源视频 → 字幕”连线，但底层仍保留字幕来源信息。多个字幕视频版本会分别连接源视频与字幕轨。</w:t>
      </w:r>
    </w:p>
    <w:p>
      <w:pPr>
        <w:pStyle w:val="Heading2"/>
      </w:pPr>
      <w:r>
        <w:t>7.2 配音与视频合并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配音合成保留视频与音频两个来源，并创建新的派生视频，不覆盖原文件；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视频合并只对可读取且编码兼容的片段执行，项目生成视频与导入视频都需要 FFmpeg 检查；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字幕烧录、配音、合并、视频封面和代理文件依赖 FFmpeg/ffprobe；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处理失败时会保留原素材并显示可读原因。</w:t>
      </w:r>
    </w:p>
    <w:p>
      <w:pPr>
        <w:pStyle w:val="Heading1"/>
      </w:pPr>
      <w:r>
        <w:t>8. 固定工作流与协作</w:t>
      </w:r>
    </w:p>
    <w:p>
      <w:pPr>
        <w:pStyle w:val="Heading2"/>
      </w:pPr>
      <w:r>
        <w:t>8.1 内容模式与生成路线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900"/>
        <w:gridCol w:w="2700"/>
        <w:gridCol w:w="4760"/>
      </w:tblGrid>
      <w:tr>
        <w:trPr>
          <w:tblHeader w:val="true"/>
        </w:trP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维度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选项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含义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内容模式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剧集 / 说书 / 广告短片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决定剧本结构和 Agent 内容配置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生成路线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分镜路线 / 参考视频路线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决定视频从分镜图还是资产参考直接生成；创建后不可更改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宫格分镜</w:t>
            </w:r>
          </w:p>
        </w:tc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开 / 关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项目级独立选项，不是第三种生成路线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  <w:color w:val="203040"/>
        </w:rPr>
        <w:t>固定工作流通常依次处理源内容、资产、分集、剧本、分镜、视频与成片。自由创作不强制经过这些阶段，因此项目状态按实际任务和产物计算，不应伪装成固定工作流中的脚本或分镜阶段。</w:t>
      </w:r>
    </w:p>
    <w:p>
      <w:pPr>
        <w:pStyle w:val="Heading2"/>
      </w:pPr>
      <w:r>
        <w:t>8.2 项目成员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项目所有者从项目卡片或项目设置打开成员窗口；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可添加成员、修改 editor/viewer 角色、移除成员或转移所有权；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成员窗口限制最大宽度并自适应内容，窄窗口内操作列保持可见；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系统管理员管理账号不等于自动拥有所有项目编辑权限。</w:t>
      </w:r>
    </w:p>
    <w:p>
      <w:pPr>
        <w:pStyle w:val="Heading1"/>
      </w:pPr>
      <w:r>
        <w:t>9. 导入、导出与数据安全</w:t>
      </w:r>
    </w:p>
    <w:p>
      <w:pPr>
        <w:pStyle w:val="Heading2"/>
      </w:pPr>
      <w:r>
        <w:t>9.1 项目 ZIP</w:t>
      </w:r>
    </w:p>
    <w:p>
      <w:r>
        <w:rPr>
          <w:rFonts w:ascii="Calibri" w:hAnsi="Calibri" w:eastAsia="Microsoft YaHei"/>
          <w:color w:val="203040"/>
        </w:rPr>
        <w:t>项目导出 ZIP 是完整项目备份入口。导入时系统校验归档标识、必填字段、路径安全、条目数量、单文件大小、总解压大小和压缩比；普通 ZIP 或不完整归档会被拒绝并显示原因。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3040"/>
        </w:rPr>
        <w:t>导出后保留 ZIP 文件和生成时间；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3040"/>
        </w:rPr>
        <w:t>在测试项目中完成一次重新导入并核对素材、画布和项目设置；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3040"/>
        </w:rPr>
        <w:t>不要把来源不明的 ZIP 上传到生产系统；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3040"/>
        </w:rPr>
        <w:t>自由创作旧备份缺少 style 等历史字段时，导入器按兼容规则补全，不要求用户手工修改归档。</w:t>
      </w:r>
    </w:p>
    <w:p>
      <w:pPr>
        <w:pStyle w:val="Heading2"/>
      </w:pPr>
      <w:r>
        <w:t>9.2 数据保存位置</w:t>
      </w:r>
    </w:p>
    <w:p>
      <w:pPr>
        <w:tabs>
          <w:tab w:pos="2700" w:val="left"/>
        </w:tabs>
        <w:spacing w:before="0" w:after="60" w:line="259" w:lineRule="auto"/>
        <w:ind w:left="120"/>
        <w:shd w:fill="F2F4F7"/>
      </w:pPr>
      <w:r>
        <w:rPr>
          <w:rFonts w:ascii="Calibri" w:hAnsi="Calibri" w:eastAsia="Microsoft YaHei"/>
          <w:b/>
          <w:color w:val="1F4D78"/>
          <w:sz w:val="19"/>
        </w:rPr>
        <w:t>业务数据库</w:t>
      </w:r>
      <w:r>
        <w:tab/>
      </w:r>
      <w:r>
        <w:rPr>
          <w:rFonts w:ascii="Calibri" w:hAnsi="Calibri" w:eastAsia="Microsoft YaHei"/>
          <w:color w:val="203040"/>
          <w:sz w:val="19"/>
        </w:rPr>
        <w:t>PostgreSQL</w:t>
      </w:r>
    </w:p>
    <w:p>
      <w:pPr>
        <w:tabs>
          <w:tab w:pos="2700" w:val="left"/>
        </w:tabs>
        <w:spacing w:before="0" w:after="60" w:line="259" w:lineRule="auto"/>
        <w:ind w:left="120"/>
        <w:shd w:fill="F2F4F7"/>
      </w:pPr>
      <w:r>
        <w:rPr>
          <w:rFonts w:ascii="Calibri" w:hAnsi="Calibri" w:eastAsia="Microsoft YaHei"/>
          <w:b/>
          <w:color w:val="1F4D78"/>
          <w:sz w:val="19"/>
        </w:rPr>
        <w:t>上传与生成媒体</w:t>
      </w:r>
      <w:r>
        <w:tab/>
      </w:r>
      <w:r>
        <w:rPr>
          <w:rFonts w:ascii="Calibri" w:hAnsi="Calibri" w:eastAsia="Microsoft YaHei"/>
          <w:color w:val="203040"/>
          <w:sz w:val="19"/>
        </w:rPr>
        <w:t>客户服务器本地磁盘 projects/</w:t>
      </w:r>
    </w:p>
    <w:p>
      <w:pPr>
        <w:tabs>
          <w:tab w:pos="2700" w:val="left"/>
        </w:tabs>
        <w:spacing w:before="0" w:after="60" w:line="259" w:lineRule="auto"/>
        <w:ind w:left="120"/>
        <w:shd w:fill="F2F4F7"/>
      </w:pPr>
      <w:r>
        <w:rPr>
          <w:rFonts w:ascii="Calibri" w:hAnsi="Calibri" w:eastAsia="Microsoft YaHei"/>
          <w:b/>
          <w:color w:val="1F4D78"/>
          <w:sz w:val="19"/>
        </w:rPr>
        <w:t>供应商凭证</w:t>
      </w:r>
      <w:r>
        <w:tab/>
      </w:r>
      <w:r>
        <w:rPr>
          <w:rFonts w:ascii="Calibri" w:hAnsi="Calibri" w:eastAsia="Microsoft YaHei"/>
          <w:color w:val="203040"/>
          <w:sz w:val="19"/>
        </w:rPr>
        <w:t>数据库密文 + 独立凭证加密密钥</w:t>
      </w:r>
    </w:p>
    <w:p>
      <w:pPr>
        <w:tabs>
          <w:tab w:pos="2700" w:val="left"/>
        </w:tabs>
        <w:spacing w:before="0" w:after="60" w:line="259" w:lineRule="auto"/>
        <w:ind w:left="120"/>
        <w:shd w:fill="F2F4F7"/>
      </w:pPr>
      <w:r>
        <w:rPr>
          <w:rFonts w:ascii="Calibri" w:hAnsi="Calibri" w:eastAsia="Microsoft YaHei"/>
          <w:b/>
          <w:color w:val="1F4D78"/>
          <w:sz w:val="19"/>
        </w:rPr>
        <w:t>文档站</w:t>
      </w:r>
      <w:r>
        <w:tab/>
      </w:r>
      <w:r>
        <w:rPr>
          <w:rFonts w:ascii="Calibri" w:hAnsi="Calibri" w:eastAsia="Microsoft YaHei"/>
          <w:color w:val="203040"/>
          <w:sz w:val="19"/>
        </w:rPr>
        <w:t>独立静态容器，通过 /docs/ 访问</w:t>
      </w:r>
    </w:p>
    <w:p>
      <w:pPr>
        <w:tabs>
          <w:tab w:pos="2700" w:val="left"/>
        </w:tabs>
        <w:spacing w:before="0" w:after="60" w:line="259" w:lineRule="auto"/>
        <w:ind w:left="120"/>
        <w:shd w:fill="F2F4F7"/>
      </w:pPr>
      <w:r>
        <w:rPr>
          <w:rFonts w:ascii="Calibri" w:hAnsi="Calibri" w:eastAsia="Microsoft YaHei"/>
          <w:b/>
          <w:color w:val="1F4D78"/>
          <w:sz w:val="19"/>
        </w:rPr>
        <w:t>对应源码</w:t>
      </w:r>
      <w:r>
        <w:tab/>
      </w:r>
      <w:r>
        <w:rPr>
          <w:rFonts w:ascii="Calibri" w:hAnsi="Calibri" w:eastAsia="Microsoft YaHei"/>
          <w:color w:val="203040"/>
          <w:sz w:val="19"/>
        </w:rPr>
        <w:t>关于页中的受控下载入口</w:t>
      </w:r>
    </w:p>
    <w:p>
      <w:pPr>
        <w:spacing w:after="0"/>
      </w:pPr>
    </w:p>
    <w:p>
      <w:pPr>
        <w:pStyle w:val="Heading1"/>
      </w:pPr>
      <w:r>
        <w:t>10. 快捷键与故障处理</w:t>
      </w:r>
    </w:p>
    <w:p>
      <w:pPr>
        <w:pStyle w:val="Heading2"/>
      </w:pPr>
      <w:r>
        <w:t>10.1 常用快捷键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操作</w:t>
            </w:r>
          </w:p>
        </w:tc>
        <w:tc>
          <w:tcPr>
            <w:tcW w:type="dxa" w:w="6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快捷键/手势</w:t>
            </w:r>
          </w:p>
        </w:tc>
      </w:tr>
      <w:tr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撤销</w:t>
            </w:r>
          </w:p>
        </w:tc>
        <w:tc>
          <w:tcPr>
            <w:tcW w:type="dxa" w:w="6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Ctrl + Z</w:t>
            </w:r>
          </w:p>
        </w:tc>
      </w:tr>
      <w:tr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重做</w:t>
            </w:r>
          </w:p>
        </w:tc>
        <w:tc>
          <w:tcPr>
            <w:tcW w:type="dxa" w:w="6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Ctrl + Y</w:t>
            </w:r>
          </w:p>
        </w:tc>
      </w:tr>
      <w:tr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引用画布素材</w:t>
            </w:r>
          </w:p>
        </w:tc>
        <w:tc>
          <w:tcPr>
            <w:tcW w:type="dxa" w:w="6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Ctrl + 鼠标左键</w:t>
            </w:r>
          </w:p>
        </w:tc>
      </w:tr>
      <w:tr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预览或编辑</w:t>
            </w:r>
          </w:p>
        </w:tc>
        <w:tc>
          <w:tcPr>
            <w:tcW w:type="dxa" w:w="6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双击卡片</w:t>
            </w:r>
          </w:p>
        </w:tc>
      </w:tr>
      <w:tr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上下文操作</w:t>
            </w:r>
          </w:p>
        </w:tc>
        <w:tc>
          <w:tcPr>
            <w:tcW w:type="dxa" w:w="6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鼠标右键</w:t>
            </w:r>
          </w:p>
        </w:tc>
      </w:tr>
      <w:tr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快速查找模型</w:t>
            </w:r>
          </w:p>
        </w:tc>
        <w:tc>
          <w:tcPr>
            <w:tcW w:type="dxa" w:w="6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打开模型列表后输入名称</w:t>
            </w:r>
          </w:p>
        </w:tc>
      </w:tr>
    </w:tbl>
    <w:p>
      <w:pPr>
        <w:spacing w:after="0"/>
      </w:pPr>
    </w:p>
    <w:p>
      <w:pPr>
        <w:pStyle w:val="Heading2"/>
      </w:pPr>
      <w:r>
        <w:t>10.2 常见问题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现象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/>
                <w:color w:val="203040"/>
                <w:sz w:val="19"/>
              </w:rPr>
              <w:t>优先检查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提示需要配置模型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管理员是否配置并启用了对应图片、视频或 Agent 模型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模型不支持参数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切换模型后重新选择其能力范围内的比例、分辨率、时长与引用方式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图片疑似真人而视频失败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供应商内容审核可能拒绝真实人物或隐私信息；更换合规素材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字幕、配音或合并不可用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服务器是否安装 FFmpeg/ffprobe，片段是否可解码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媒体卡片无封面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等待后台缩略图/代理任务；检查 FFmpeg 和文件读取权限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收到 401 或会话下线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账号可能在新设备登录；重新登录并确认管理员未撤销会话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Agent 提示会话不存在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重新打开项目会话；若持续出现，由管理员查看系统日志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项目 ZIP 无法导入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40" w:line="259" w:lineRule="auto"/>
            </w:pPr>
            <w:r>
              <w:rPr>
                <w:rFonts w:ascii="Calibri" w:hAnsi="Calibri" w:eastAsia="Microsoft YaHei"/>
                <w:b w:val="0"/>
                <w:color w:val="203040"/>
                <w:sz w:val="19"/>
              </w:rPr>
              <w:t>确认文件由 MatrixSpooll 项目导出，查看界面中的具体校验错误</w:t>
            </w:r>
          </w:p>
        </w:tc>
      </w:tr>
    </w:tbl>
    <w:p>
      <w:pPr>
        <w:spacing w:after="0"/>
      </w:pPr>
    </w:p>
    <w:p>
      <w:pPr>
        <w:pStyle w:val="Heading1"/>
      </w:pPr>
      <w:r>
        <w:t>11. 文档、源码与负责任使用</w:t>
      </w:r>
    </w:p>
    <w:p>
      <w:r>
        <w:rPr>
          <w:rFonts w:ascii="Calibri" w:hAnsi="Calibri" w:eastAsia="Microsoft YaHei"/>
          <w:color w:val="203040"/>
        </w:rPr>
        <w:t>用户菜单提供“文档站”和“关于”。文档站包含入门、自由创作、供应商、部署与常见问题；关于页显示项目来源、修改版本、LICENSE 以及当前部署版本的对应源码下载。</w:t>
      </w:r>
    </w:p>
    <w:p>
      <w:pPr>
        <w:spacing w:before="80" w:after="160" w:line="269" w:lineRule="auto"/>
        <w:ind w:left="173" w:right="173"/>
        <w:shd w:fill="FDECEC"/>
        <w:pBdr>
          <w:left w:val="single" w:sz="16" w:space="6" w:color="9B1C1C"/>
        </w:pBdr>
      </w:pPr>
      <w:r>
        <w:rPr>
          <w:rFonts w:ascii="Calibri" w:hAnsi="Calibri" w:eastAsia="Microsoft YaHei"/>
          <w:b/>
          <w:color w:val="9B1C1C"/>
          <w:sz w:val="20"/>
        </w:rPr>
        <w:t xml:space="preserve">内容责任  </w:t>
      </w:r>
      <w:r>
        <w:rPr>
          <w:rFonts w:ascii="Calibri" w:hAnsi="Calibri" w:eastAsia="Microsoft YaHei"/>
          <w:color w:val="203040"/>
          <w:sz w:val="20"/>
        </w:rPr>
        <w:t>使用者必须确认输入素材和生成内容符合适用法律、合同、著作权、肖像权、隐私权和供应商政策。不得利用本软件规避内容审核或制作违法、侵权、欺诈及其他有害内容。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发布前人工核验事实、版权、广告表述和平台规则；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涉及真实人物、声音克隆、未成年人或敏感主题时取得必要同意并加强审核；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妥善保护账号、API Key、项目素材、生成结果和备份；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按适用规定标注 AI 生成或合成内容；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3040"/>
        </w:rPr>
        <w:t>不再需要的敏感素材、代理文件、日志和备份应及时清理。</w:t>
      </w:r>
    </w:p>
    <w:p>
      <w:r>
        <w:rPr>
          <w:rFonts w:ascii="Calibri" w:hAnsi="Calibri" w:eastAsia="Microsoft YaHei"/>
          <w:color w:val="203040"/>
        </w:rPr>
        <w:t>本软件按 GNU AGPL-3.0 原样提供，不附带任何明示或默示担保。完整许可证、来源与免责声明以交付源码根目录中的 LICENSE、NOTICE 和 DISCLAIMER.md 为准。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667085"/>
        <w:sz w:val="17"/>
      </w:rPr>
      <w:t xml:space="preserve">MatrixSpooll  |  </w:t>
    </w:r>
    <w:fldSimple w:instr="PAGE">
      <w:r>
        <w:rPr>
          <w:color w:val="667085"/>
          <w:sz w:val="17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085"/>
        <w:sz w:val="18"/>
      </w:rPr>
      <w:t>MatrixSpooll | 用户手册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before="0" w:after="80" w:line="300" w:lineRule="auto"/>
      </w:pPr>
      <w:rPr>
        <w:rFonts w:ascii="Calibri" w:hAnsi="Calibri" w:eastAsia="Microsoft YaHe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  <w:spacing w:before="0" w:after="80" w:line="300" w:lineRule="auto"/>
      </w:pPr>
      <w:rPr>
        <w:rFonts w:ascii="Calibri" w:hAnsi="Calibri" w:eastAsia="Microsoft YaHei"/>
      </w:r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□"/>
      <w:suff w:val="tab"/>
      <w:pPr>
        <w:tabs>
          <w:tab w:val="num" w:pos="540"/>
        </w:tabs>
        <w:ind w:left="540" w:hanging="271"/>
        <w:spacing w:before="0" w:after="80" w:line="300" w:lineRule="auto"/>
      </w:pPr>
      <w:rPr>
        <w:rFonts w:ascii="Calibri" w:hAnsi="Calibri" w:eastAsia="Microsoft YaHei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Rule="auto" w:line="300"/>
    </w:pPr>
    <w:rPr>
      <w:rFonts w:ascii="Calibri" w:hAnsi="Calibri" w:eastAsia="Microsoft YaHei"/>
      <w:b w:val="0"/>
      <w:color w:val="2030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Rule="auto" w:line="24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Rule="auto" w:line="2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Rule="auto" w:line="24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60" w:lineRule="auto" w:line="240"/>
      <w:ind w:left="259" w:right="259"/>
    </w:pPr>
    <w:rPr>
      <w:rFonts w:ascii="Consolas" w:hAnsi="Consolas" w:eastAsia="Microsoft YaHei"/>
      <w:b w:val="0"/>
      <w:color w:val="20304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MatrixSpooll 用户手册</dc:title>
  <dc:subject>创作、画布、协作与常见问题</dc:subject>
  <dc:creator>MatrixSpooll</dc:creator>
  <cp:keywords>MatrixSpooll, AI video, delivery, user manual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zh-CN</dc:language>
</cp:coreProperties>
</file>