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2BF781">
      <w:pPr>
        <w:rPr>
          <w:rFonts w:ascii="Times New Roman" w:hAnsi="Times New Roman"/>
        </w:rPr>
      </w:pPr>
    </w:p>
    <w:p w14:paraId="1032B9AE">
      <w:pPr>
        <w:spacing w:after="160"/>
        <w:jc w:val="left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2E74B5"/>
          <w:sz w:val="20"/>
        </w:rPr>
        <w:t>CUSTOMER DELIVERY PACK</w:t>
      </w:r>
    </w:p>
    <w:p w14:paraId="6EF8670B">
      <w:pPr>
        <w:spacing w:after="160"/>
        <w:jc w:val="left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62"/>
        </w:rPr>
        <w:t>MatrixSpooll 项目交付文档</w:t>
      </w:r>
    </w:p>
    <w:p w14:paraId="2EAAF776">
      <w:pPr>
        <w:spacing w:after="480"/>
        <w:jc w:val="left"/>
        <w:rPr>
          <w:rFonts w:ascii="Times New Roman" w:hAnsi="Times New Roman"/>
        </w:rPr>
      </w:pPr>
      <w:r>
        <w:rPr>
          <w:rFonts w:ascii="Times New Roman" w:hAnsi="Times New Roman" w:eastAsia="微软雅黑"/>
          <w:color w:val="667085"/>
          <w:sz w:val="27"/>
        </w:rPr>
        <w:t>源码、部署、安全、验收与后续维护基线</w:t>
      </w:r>
    </w:p>
    <w:p w14:paraId="7BC86E7B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hint="default" w:ascii="Times New Roman" w:hAnsi="Times New Roman" w:eastAsia="微软雅黑"/>
          <w:lang w:val="en-US" w:eastAsia="zh-CN"/>
        </w:rPr>
      </w:pPr>
      <w:r>
        <w:rPr>
          <w:rFonts w:ascii="Times New Roman" w:hAnsi="Times New Roman" w:eastAsia="微软雅黑"/>
          <w:b/>
          <w:color w:val="1F4D78"/>
          <w:sz w:val="19"/>
        </w:rPr>
        <w:t>文档版本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1.0</w:t>
      </w:r>
      <w:r>
        <w:rPr>
          <w:rFonts w:hint="eastAsia" w:ascii="Times New Roman" w:hAnsi="Times New Roman"/>
          <w:color w:val="203040"/>
          <w:sz w:val="19"/>
          <w:lang w:val="en-US" w:eastAsia="zh-CN"/>
        </w:rPr>
        <w:t>.0</w:t>
      </w:r>
    </w:p>
    <w:p w14:paraId="5EFD0223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软件版本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1.2.0</w:t>
      </w:r>
    </w:p>
    <w:p w14:paraId="253846FA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编制日期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2026-08-28</w:t>
      </w:r>
    </w:p>
    <w:p w14:paraId="74537223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适用对象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客户项目负责人、系统管理员、运维与验收人员</w:t>
      </w:r>
    </w:p>
    <w:p w14:paraId="0A16F86E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软件许可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GNU Affero General Public License v3.0</w:t>
      </w:r>
    </w:p>
    <w:p w14:paraId="77839921">
      <w:pPr>
        <w:spacing w:after="0"/>
        <w:rPr>
          <w:rFonts w:ascii="Times New Roman" w:hAnsi="Times New Roman"/>
        </w:rPr>
      </w:pPr>
    </w:p>
    <w:p w14:paraId="6701DD3B">
      <w:pPr>
        <w:pBdr>
          <w:left w:val="single" w:color="1F4D78" w:sz="16" w:space="6"/>
        </w:pBdr>
        <w:shd w:val="clear" w:fill="F4F6F9"/>
        <w:spacing w:before="80" w:after="160" w:line="269" w:lineRule="auto"/>
        <w:ind w:left="173" w:right="173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20"/>
        </w:rPr>
        <w:t xml:space="preserve">交付说明  </w:t>
      </w:r>
      <w:r>
        <w:rPr>
          <w:rFonts w:ascii="Times New Roman" w:hAnsi="Times New Roman" w:eastAsia="微软雅黑"/>
          <w:color w:val="203040"/>
          <w:sz w:val="20"/>
        </w:rPr>
        <w:t>本文档随完整源码交付，面向客户服务器本地构建与部署，不依赖公开 Git 仓库或公开镜像仓库。</w:t>
      </w:r>
    </w:p>
    <w:p w14:paraId="33103324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71CA5FE1">
      <w:pPr>
        <w:pStyle w:val="3"/>
        <w:rPr>
          <w:rFonts w:ascii="Times New Roman" w:hAnsi="Times New Roman"/>
        </w:rPr>
      </w:pPr>
      <w:r>
        <w:rPr>
          <w:rFonts w:ascii="Times New Roman" w:hAnsi="Times New Roman"/>
        </w:rPr>
        <w:t>阅读导航</w:t>
      </w:r>
    </w:p>
    <w:p w14:paraId="4336E46F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1-2  </w:t>
      </w:r>
      <w:r>
        <w:rPr>
          <w:rFonts w:ascii="Times New Roman" w:hAnsi="Times New Roman" w:eastAsia="微软雅黑"/>
          <w:color w:val="667085"/>
        </w:rPr>
        <w:t>交付范围与系统构成</w:t>
      </w:r>
    </w:p>
    <w:p w14:paraId="61A6F07A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3-4  </w:t>
      </w:r>
      <w:r>
        <w:rPr>
          <w:rFonts w:ascii="Times New Roman" w:hAnsi="Times New Roman" w:eastAsia="微软雅黑"/>
          <w:color w:val="667085"/>
        </w:rPr>
        <w:t>部署准备、首次启动与公网边界</w:t>
      </w:r>
    </w:p>
    <w:p w14:paraId="1E0CA89F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5-6  </w:t>
      </w:r>
      <w:r>
        <w:rPr>
          <w:rFonts w:ascii="Times New Roman" w:hAnsi="Times New Roman" w:eastAsia="微软雅黑"/>
          <w:color w:val="667085"/>
        </w:rPr>
        <w:t>数据、备份、升级与恢复</w:t>
      </w:r>
    </w:p>
    <w:p w14:paraId="68206D68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7  </w:t>
      </w:r>
      <w:r>
        <w:rPr>
          <w:rFonts w:ascii="Times New Roman" w:hAnsi="Times New Roman" w:eastAsia="微软雅黑"/>
          <w:color w:val="667085"/>
        </w:rPr>
        <w:t>验收检查</w:t>
      </w:r>
    </w:p>
    <w:p w14:paraId="717D0726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8  </w:t>
      </w:r>
      <w:r>
        <w:rPr>
          <w:rFonts w:ascii="Times New Roman" w:hAnsi="Times New Roman" w:eastAsia="微软雅黑"/>
          <w:color w:val="667085"/>
        </w:rPr>
        <w:t>许可证、来源与对应源码</w:t>
      </w:r>
    </w:p>
    <w:p w14:paraId="1B68CF90">
      <w:pPr>
        <w:spacing w:after="8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</w:rPr>
        <w:t xml:space="preserve">9  </w:t>
      </w:r>
      <w:r>
        <w:rPr>
          <w:rFonts w:ascii="Times New Roman" w:hAnsi="Times New Roman" w:eastAsia="微软雅黑"/>
          <w:color w:val="667085"/>
        </w:rPr>
        <w:t>支持边界与签收</w:t>
      </w:r>
    </w:p>
    <w:p w14:paraId="01564401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1. 交付目标与边界</w:t>
      </w:r>
    </w:p>
    <w:p w14:paraId="2C97F9C1">
      <w:p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本交付物用于在客户自有服务器上部署、运行和维护 MatrixSpooll。交付内容包括完整对应源码、构建与部署配置、数据库迁移、文档站、用户手册及验收基线。</w:t>
      </w:r>
    </w:p>
    <w:p w14:paraId="04D43F51">
      <w:pPr>
        <w:pBdr>
          <w:left w:val="single" w:color="7A5A00" w:sz="16" w:space="6"/>
        </w:pBdr>
        <w:shd w:val="clear" w:fill="FFF7E6"/>
        <w:spacing w:before="80" w:after="160" w:line="269" w:lineRule="auto"/>
        <w:ind w:left="173" w:right="173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7A5A00"/>
          <w:sz w:val="20"/>
        </w:rPr>
        <w:t xml:space="preserve">关键边界  </w:t>
      </w:r>
      <w:r>
        <w:rPr>
          <w:rFonts w:ascii="Times New Roman" w:hAnsi="Times New Roman" w:eastAsia="微软雅黑"/>
          <w:color w:val="203040"/>
          <w:sz w:val="20"/>
        </w:rPr>
        <w:t>交付的是可自行构建的完整源码与部署能力；供应商 API Key、客户数据、生产密码、证书私钥和已生成媒体不进入通用源码包。</w:t>
      </w:r>
    </w:p>
    <w:p w14:paraId="1D89B300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应用版本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1.2.0</w:t>
      </w:r>
    </w:p>
    <w:p w14:paraId="387EE94C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源码归档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matrixspooll-source-1.2.0.zip</w:t>
      </w:r>
    </w:p>
    <w:p w14:paraId="6E3AF85C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文件数量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1949</w:t>
      </w:r>
    </w:p>
    <w:p w14:paraId="745902D6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SHA-256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aa0f67dce42248f381aa4083dd92f56e64359d149cb45f8abfea5344186536e7</w:t>
      </w:r>
    </w:p>
    <w:p w14:paraId="10A4913E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数据库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PostgreSQL 单库；SQLite 仅用于 TESTING=true 的隔离测试</w:t>
      </w:r>
    </w:p>
    <w:p w14:paraId="418EF35C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公网入口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Nginx 仅发布 80/443；应用 1241 与 PostgreSQL 5432 不直接暴露</w:t>
      </w:r>
    </w:p>
    <w:p w14:paraId="30D41535">
      <w:pPr>
        <w:spacing w:after="0"/>
        <w:rPr>
          <w:rFonts w:ascii="Times New Roman" w:hAnsi="Times New Roman"/>
        </w:rPr>
      </w:pPr>
    </w:p>
    <w:p w14:paraId="392FBB02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2. 交付物清单</w:t>
      </w:r>
    </w:p>
    <w:tbl>
      <w:tblPr>
        <w:tblStyle w:val="32"/>
        <w:tblW w:w="9360" w:type="dxa"/>
        <w:tblInd w:w="120" w:type="dxa"/>
        <w:tblBorders>
          <w:top w:val="single" w:color="D0D5DD" w:sz="4" w:space="0"/>
          <w:left w:val="single" w:color="D0D5DD" w:sz="4" w:space="0"/>
          <w:bottom w:val="single" w:color="D0D5DD" w:sz="4" w:space="0"/>
          <w:right w:val="single" w:color="D0D5DD" w:sz="4" w:space="0"/>
          <w:insideH w:val="single" w:color="D0D5DD" w:sz="4" w:space="0"/>
          <w:insideV w:val="single" w:color="D0D5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4500"/>
        <w:gridCol w:w="3060"/>
      </w:tblGrid>
      <w:tr w14:paraId="19894A96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CC0F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类别</w:t>
            </w:r>
          </w:p>
        </w:tc>
        <w:tc>
          <w:tcPr>
            <w:tcW w:w="4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50366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主要内容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D3360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验收要点</w:t>
            </w:r>
          </w:p>
        </w:tc>
      </w:tr>
      <w:tr w14:paraId="7EAB6407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4217F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应用源码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06B7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frontend、server、lib、agent_runtime_profile、数据库迁移与测试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0066F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可离线检查并在客户环境构建</w:t>
            </w:r>
          </w:p>
        </w:tc>
      </w:tr>
      <w:tr w14:paraId="32C02E0A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4447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部署配置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5E5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Dockerfile、deploy/production、Nginx、Certbot、文档站镜像定义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FF47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Compose 可解析，只有 80/443 对外发布</w:t>
            </w:r>
          </w:p>
        </w:tc>
      </w:tr>
      <w:tr w14:paraId="1580975C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0E93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依赖锁定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3AD02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uv.lock、package.json、pnpm-lock.yaml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3282F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构建使用交付时锁定版本</w:t>
            </w:r>
          </w:p>
        </w:tc>
      </w:tr>
      <w:tr w14:paraId="0885B841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5BE9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合规文件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F791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LICENSE、NOTICE、DISCLAIMER、THIRD_PARTY_NOTICES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0A44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原样保留并随源码与镜像交付</w:t>
            </w:r>
          </w:p>
        </w:tc>
      </w:tr>
      <w:tr w14:paraId="3DB2D467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E4A5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使用文档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855D4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README 双语、文档站、用户手册、交付文档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C6C3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与当前功能和部署方式一致</w:t>
            </w:r>
          </w:p>
        </w:tc>
      </w:tr>
      <w:tr w14:paraId="66E0EA0B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6960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源码下载包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F08B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版本化 ZIP、source-manifest.json、SHA256SUMS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5E8C0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关于页可向登录用户提供当前版本源码</w:t>
            </w:r>
          </w:p>
        </w:tc>
      </w:tr>
    </w:tbl>
    <w:p w14:paraId="297D8A1A">
      <w:pPr>
        <w:spacing w:after="0"/>
        <w:rPr>
          <w:rFonts w:ascii="Times New Roman" w:hAnsi="Times New Roman"/>
        </w:rPr>
      </w:pPr>
    </w:p>
    <w:p w14:paraId="47AD8618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2.1 不进入通用交付包的内容</w:t>
      </w:r>
    </w:p>
    <w:p w14:paraId="78A68320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生产 .env、认证密码、JWT 签名密钥和供应商凭证；</w:t>
      </w:r>
    </w:p>
    <w:p w14:paraId="4A584244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PostgreSQL 数据目录、客户项目、上传素材、生成媒体和日志；</w:t>
      </w:r>
    </w:p>
    <w:p w14:paraId="3E39AEC4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TLS 私钥、证书账户信息、客户内部网络拓扑和个人信息；</w:t>
      </w:r>
    </w:p>
    <w:p w14:paraId="5D2DA7DB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仅在开发机上存在的缓存、虚拟环境、node_modules 与测试临时目录。</w:t>
      </w:r>
    </w:p>
    <w:p w14:paraId="7493255D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3. 系统构成</w:t>
      </w:r>
    </w:p>
    <w:tbl>
      <w:tblPr>
        <w:tblStyle w:val="32"/>
        <w:tblW w:w="9360" w:type="dxa"/>
        <w:tblInd w:w="120" w:type="dxa"/>
        <w:tblBorders>
          <w:top w:val="single" w:color="D0D5DD" w:sz="4" w:space="0"/>
          <w:left w:val="single" w:color="D0D5DD" w:sz="4" w:space="0"/>
          <w:bottom w:val="single" w:color="D0D5DD" w:sz="4" w:space="0"/>
          <w:right w:val="single" w:color="D0D5DD" w:sz="4" w:space="0"/>
          <w:insideH w:val="single" w:color="D0D5DD" w:sz="4" w:space="0"/>
          <w:insideV w:val="single" w:color="D0D5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4400"/>
        <w:gridCol w:w="3060"/>
      </w:tblGrid>
      <w:tr w14:paraId="157BE721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ECC9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组件</w:t>
            </w:r>
          </w:p>
        </w:tc>
        <w:tc>
          <w:tcPr>
            <w:tcW w:w="4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C2C10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职责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CFB9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默认网络位置</w:t>
            </w:r>
          </w:p>
        </w:tc>
      </w:tr>
      <w:tr w14:paraId="6D2BF9B3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4C63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Nginx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A350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HTTPS、静态资源、SSE/API 反向代理、文档站鉴权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F941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公网 80/443</w:t>
            </w:r>
          </w:p>
        </w:tc>
      </w:tr>
      <w:tr w14:paraId="6C1E3F0D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73A96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MatrixSpooll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82E5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React SPA、FastAPI、任务队列、Agent Runtime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2633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edge/database 内网，1241 expose</w:t>
            </w:r>
          </w:p>
        </w:tc>
      </w:tr>
      <w:tr w14:paraId="54402B60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DA89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PostgreSQL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FB57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用户、项目身份、任务、审计与业务索引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AAA0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database 内网，5432 不发布</w:t>
            </w:r>
          </w:p>
        </w:tc>
      </w:tr>
      <w:tr w14:paraId="564DBA17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B06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Docs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20936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Docusaurus 静态文档站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689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edge 内网，8080 expose</w:t>
            </w:r>
          </w:p>
        </w:tc>
      </w:tr>
      <w:tr w14:paraId="3BE963A1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D69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Certbot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6AC1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证书申请与自动续期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009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仅访问 ACME 与共享证书卷</w:t>
            </w:r>
          </w:p>
        </w:tc>
      </w:tr>
    </w:tbl>
    <w:p w14:paraId="24743691">
      <w:pPr>
        <w:spacing w:after="0"/>
        <w:rPr>
          <w:rFonts w:ascii="Times New Roman" w:hAnsi="Times New Roman"/>
        </w:rPr>
      </w:pPr>
    </w:p>
    <w:p w14:paraId="56A33AA9">
      <w:p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项目媒体继续保存在本地磁盘的 projects/ 目录；数据库与媒体必须作为一组制定备份策略。应用启动时执行数据库迁移，但迁移不替代部署前备份。</w:t>
      </w:r>
    </w:p>
    <w:p w14:paraId="29D96181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4. 首次部署</w:t>
      </w:r>
    </w:p>
    <w:p w14:paraId="1B417DA2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4.1 环境要求</w:t>
      </w:r>
    </w:p>
    <w:p w14:paraId="7B1DB175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Linux 服务器、Docker Engine 与 Docker Compose v2；</w:t>
      </w:r>
    </w:p>
    <w:p w14:paraId="716AC78E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指向服务器的域名或受支持的公网 IPv4，以及放行的 TCP 80/443；</w:t>
      </w:r>
    </w:p>
    <w:p w14:paraId="5631CE8B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足够的系统盘或独立数据盘，能够容纳 PostgreSQL、项目媒体、代理文件与备份；</w:t>
      </w:r>
    </w:p>
    <w:p w14:paraId="278789E9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客户自行申请并保管的模型供应商 API Key。</w:t>
      </w:r>
    </w:p>
    <w:p w14:paraId="428C1AF2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4.2 配置与启动</w:t>
      </w:r>
    </w:p>
    <w:p w14:paraId="02F10354">
      <w:pPr>
        <w:pStyle w:val="164"/>
        <w:keepNext w:val="0"/>
        <w:keepLines/>
        <w:pageBreakBefore w:val="0"/>
        <w:widowControl/>
        <w:shd w:val="clear" w:fill="F2F4F7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61" w:right="261"/>
        <w:textAlignment w:val="auto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eastAsia="微软雅黑"/>
          <w:color w:val="203040"/>
          <w:sz w:val="21"/>
          <w:szCs w:val="21"/>
        </w:rPr>
        <w:t>cd /srv/matrixspooll/deploy/production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cp .env.example .env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# 编辑 .env 后执行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up -d --build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ps</w:t>
      </w:r>
    </w:p>
    <w:tbl>
      <w:tblPr>
        <w:tblStyle w:val="32"/>
        <w:tblW w:w="9360" w:type="dxa"/>
        <w:tblInd w:w="120" w:type="dxa"/>
        <w:tblBorders>
          <w:top w:val="single" w:color="D0D5DD" w:sz="4" w:space="0"/>
          <w:left w:val="single" w:color="D0D5DD" w:sz="4" w:space="0"/>
          <w:bottom w:val="single" w:color="D0D5DD" w:sz="4" w:space="0"/>
          <w:right w:val="single" w:color="D0D5DD" w:sz="4" w:space="0"/>
          <w:insideH w:val="single" w:color="D0D5DD" w:sz="4" w:space="0"/>
          <w:insideV w:val="single" w:color="D0D5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6660"/>
      </w:tblGrid>
      <w:tr w14:paraId="30655328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46B3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必填项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F25A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要求</w:t>
            </w:r>
          </w:p>
        </w:tc>
      </w:tr>
      <w:tr w14:paraId="32A0A81B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939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AUTH_PASSWORD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30EC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强随机管理员初始密码，不写入源码或交付文档</w:t>
            </w:r>
          </w:p>
        </w:tc>
      </w:tr>
      <w:tr w14:paraId="3A087D8A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50233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AUTH_TOKEN_SECRET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A1D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至少 32 字节随机值；HttpOnly Cookie 仍依赖它防止令牌伪造</w:t>
            </w:r>
          </w:p>
        </w:tc>
      </w:tr>
      <w:tr w14:paraId="57F78AD8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653AF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POSTGRES_PASSWORD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5E3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随机数据库密码，当前模板建议仅使用字母数字以避免 URL 转义错误</w:t>
            </w:r>
          </w:p>
        </w:tc>
      </w:tr>
      <w:tr w14:paraId="0D386223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9D40F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PUBLIC_HOST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BDB12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不带协议、端口或路径的域名/公网 IPv4</w:t>
            </w:r>
          </w:p>
        </w:tc>
      </w:tr>
      <w:tr w14:paraId="3F10AFC5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B022B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PUBLIC_ORIGIN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3CAC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浏览器实际 HTTPS Origin，例如 https://video.example.com</w:t>
            </w:r>
          </w:p>
        </w:tc>
      </w:tr>
      <w:tr w14:paraId="1A8F2248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AEE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CERTBOT_EMAIL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8D84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证书申请与续期通知邮箱</w:t>
            </w:r>
          </w:p>
        </w:tc>
      </w:tr>
    </w:tbl>
    <w:p w14:paraId="7923F09A">
      <w:pPr>
        <w:spacing w:after="0"/>
        <w:rPr>
          <w:rFonts w:ascii="Times New Roman" w:hAnsi="Times New Roman"/>
        </w:rPr>
      </w:pPr>
    </w:p>
    <w:p w14:paraId="5DDAC453">
      <w:pPr>
        <w:pBdr>
          <w:left w:val="single" w:color="9B1C1C" w:sz="16" w:space="6"/>
        </w:pBdr>
        <w:shd w:val="clear" w:fill="FDECEC"/>
        <w:spacing w:before="80" w:after="160" w:line="269" w:lineRule="auto"/>
        <w:ind w:left="173" w:right="173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9B1C1C"/>
          <w:sz w:val="20"/>
        </w:rPr>
        <w:t xml:space="preserve">安全要求  </w:t>
      </w:r>
      <w:r>
        <w:rPr>
          <w:rFonts w:ascii="Times New Roman" w:hAnsi="Times New Roman" w:eastAsia="微软雅黑"/>
          <w:color w:val="203040"/>
          <w:sz w:val="20"/>
        </w:rPr>
        <w:t>不要把应用 1241 或数据库 5432 映射到公网。生产访问只经过 Nginx；防火墙仅开放 80/443 和必要的运维入口。</w:t>
      </w:r>
      <w:bookmarkStart w:id="0" w:name="_GoBack"/>
      <w:bookmarkEnd w:id="0"/>
    </w:p>
    <w:p w14:paraId="6B526A6B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4.3 启动验证</w:t>
      </w:r>
    </w:p>
    <w:p w14:paraId="55F74028">
      <w:pPr>
        <w:pStyle w:val="164"/>
        <w:keepNext w:val="0"/>
        <w:keepLines/>
        <w:pageBreakBefore w:val="0"/>
        <w:widowControl/>
        <w:shd w:val="clear" w:fill="F2F4F7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61" w:right="261"/>
        <w:textAlignment w:val="auto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ps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logs --tail=200 matrixspooll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logs --tail=120 postgres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curl -fsS https://&lt;PUBLIC_HOST&gt;/health/ready</w:t>
      </w:r>
    </w:p>
    <w:p w14:paraId="600B0D05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首次打开登录页，使用 .env 中的管理员账号登录；</w:t>
      </w:r>
    </w:p>
    <w:p w14:paraId="69958DB5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确认设置页、项目首页、管理端与 /docs/ 文档站均可访问；</w:t>
      </w:r>
    </w:p>
    <w:p w14:paraId="55902874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在关于页确认 LICENSE、NOTICE 来源署名和对应源码下载入口；</w:t>
      </w:r>
    </w:p>
    <w:p w14:paraId="24B45031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配置测试供应商后分别执行图片、视频或 Agent 的最小生成任务。</w:t>
      </w:r>
    </w:p>
    <w:p w14:paraId="612D58F0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5. 数据、存储与备份</w:t>
      </w:r>
    </w:p>
    <w:tbl>
      <w:tblPr>
        <w:tblStyle w:val="32"/>
        <w:tblW w:w="9360" w:type="dxa"/>
        <w:tblInd w:w="120" w:type="dxa"/>
        <w:tblBorders>
          <w:top w:val="single" w:color="D0D5DD" w:sz="4" w:space="0"/>
          <w:left w:val="single" w:color="D0D5DD" w:sz="4" w:space="0"/>
          <w:bottom w:val="single" w:color="D0D5DD" w:sz="4" w:space="0"/>
          <w:right w:val="single" w:color="D0D5DD" w:sz="4" w:space="0"/>
          <w:insideH w:val="single" w:color="D0D5DD" w:sz="4" w:space="0"/>
          <w:insideV w:val="single" w:color="D0D5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300"/>
        <w:gridCol w:w="3960"/>
      </w:tblGrid>
      <w:tr w14:paraId="3E7BEA35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D624B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数据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135A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默认位置</w:t>
            </w:r>
          </w:p>
        </w:tc>
        <w:tc>
          <w:tcPr>
            <w:tcW w:w="3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1D33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备份要求</w:t>
            </w:r>
          </w:p>
        </w:tc>
      </w:tr>
      <w:tr w14:paraId="3A22A431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5C44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PostgreSQL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A4A1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deploy/production/pgdata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755E6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一致性快照或 pg_dump；升级前必须备份</w:t>
            </w:r>
          </w:p>
        </w:tc>
      </w:tr>
      <w:tr w14:paraId="446D3309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4C1A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项目与媒体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F545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deploy/production/projects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EFF8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与数据库同一恢复点备份，保留文件权限</w:t>
            </w:r>
          </w:p>
        </w:tc>
      </w:tr>
      <w:tr w14:paraId="4085C572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B33F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日志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E6D1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deploy/production/logs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9450E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按保留周期轮转；排障后清理敏感内容</w:t>
            </w:r>
          </w:p>
        </w:tc>
      </w:tr>
      <w:tr w14:paraId="13AA318A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1C04A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供应商凭证密钥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8193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projects/.credential-key 或显式环境变量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1A961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与数据库一同受控备份，丢失后旧凭证无法解密</w:t>
            </w:r>
          </w:p>
        </w:tc>
      </w:tr>
      <w:tr w14:paraId="6EBE0662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9689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证书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3987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Compose 命名卷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764A8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可由 Certbot 重签；切换服务器前保留账户与恢复预案</w:t>
            </w:r>
          </w:p>
        </w:tc>
      </w:tr>
    </w:tbl>
    <w:p w14:paraId="4C8ED564">
      <w:pPr>
        <w:spacing w:after="0"/>
        <w:rPr>
          <w:rFonts w:ascii="Times New Roman" w:hAnsi="Times New Roman"/>
        </w:rPr>
      </w:pPr>
    </w:p>
    <w:p w14:paraId="781BBC67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5.1 恢复演练</w:t>
      </w:r>
    </w:p>
    <w:p w14:paraId="52C8D67E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停止写入并记录当前应用版本、数据库版本和备份时间；</w:t>
      </w:r>
    </w:p>
    <w:p w14:paraId="3364C00D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恢复 PostgreSQL 与 projects/ 到同一时间点；</w:t>
      </w:r>
    </w:p>
    <w:p w14:paraId="78458AFD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使用相同版本源码构建并执行数据库迁移；</w:t>
      </w:r>
    </w:p>
    <w:p w14:paraId="7A394DAD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验证登录、项目列表、媒体访问、任务状态、供应商凭证和源码下载；</w:t>
      </w:r>
    </w:p>
    <w:p w14:paraId="10F8158E">
      <w:pPr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记录恢复时长、缺失项和下一次演练改进。</w:t>
      </w:r>
    </w:p>
    <w:p w14:paraId="0D0B3151">
      <w:pPr>
        <w:pStyle w:val="4"/>
        <w:bidi w:val="0"/>
        <w:rPr>
          <w:rFonts w:ascii="Times New Roman" w:hAnsi="Times New Roman"/>
        </w:rPr>
      </w:pPr>
      <w:r>
        <w:rPr>
          <w:rFonts w:ascii="Times New Roman" w:hAnsi="Times New Roman"/>
        </w:rPr>
        <w:t>6. 升级与回滚</w:t>
      </w:r>
    </w:p>
    <w:p w14:paraId="387F1D17">
      <w:p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升级前创建数据库与 projects/ 一致性备份，记录当前版本与环境变量，再使用新源码重新构建。不要在没有备份的情况下直接替换 pgdata 或跨版本复用未知镜像。</w:t>
      </w:r>
    </w:p>
    <w:p w14:paraId="5DF4719B">
      <w:pPr>
        <w:pStyle w:val="164"/>
        <w:keepNext w:val="0"/>
        <w:keepLines/>
        <w:pageBreakBefore w:val="0"/>
        <w:widowControl/>
        <w:shd w:val="clear" w:fill="F2F4F7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261" w:right="261"/>
        <w:textAlignment w:val="auto"/>
        <w:rPr>
          <w:rFonts w:ascii="Times New Roman" w:hAnsi="Times New Roman"/>
          <w:sz w:val="21"/>
          <w:szCs w:val="21"/>
        </w:rPr>
      </w:pPr>
      <w:r>
        <w:rPr>
          <w:rFonts w:ascii="Times New Roman" w:hAnsi="Times New Roman" w:eastAsia="微软雅黑"/>
          <w:color w:val="203040"/>
          <w:sz w:val="21"/>
          <w:szCs w:val="21"/>
        </w:rPr>
        <w:t>cd /srv/matrixspooll/deploy/production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down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# 替换为新版本完整源码并复核 .env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up -d --build</w:t>
      </w:r>
      <w:r>
        <w:rPr>
          <w:rFonts w:ascii="Times New Roman" w:hAnsi="Times New Roman" w:eastAsia="微软雅黑"/>
          <w:color w:val="203040"/>
          <w:sz w:val="21"/>
          <w:szCs w:val="21"/>
        </w:rPr>
        <w:br w:type="textWrapping"/>
      </w:r>
      <w:r>
        <w:rPr>
          <w:rFonts w:ascii="Times New Roman" w:hAnsi="Times New Roman" w:eastAsia="微软雅黑"/>
          <w:color w:val="203040"/>
          <w:sz w:val="21"/>
          <w:szCs w:val="21"/>
        </w:rPr>
        <w:t>docker compose -f docker-compose.yml ps</w:t>
      </w:r>
    </w:p>
    <w:p w14:paraId="27B7D85B">
      <w:pPr>
        <w:pBdr>
          <w:left w:val="single" w:color="7A5A00" w:sz="16" w:space="6"/>
        </w:pBdr>
        <w:shd w:val="clear" w:fill="FFF7E6"/>
        <w:spacing w:before="80" w:after="160" w:line="269" w:lineRule="auto"/>
        <w:ind w:left="173" w:right="173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7A5A00"/>
          <w:sz w:val="20"/>
        </w:rPr>
        <w:t xml:space="preserve">回滚原则  </w:t>
      </w:r>
      <w:r>
        <w:rPr>
          <w:rFonts w:ascii="Times New Roman" w:hAnsi="Times New Roman" w:eastAsia="微软雅黑"/>
          <w:color w:val="203040"/>
          <w:sz w:val="20"/>
        </w:rPr>
        <w:t>代码回滚必须与数据库和项目媒体恢复点匹配。数据库迁移一旦改变结构，应按对应迁移说明回退或恢复完整备份。</w:t>
      </w:r>
    </w:p>
    <w:p w14:paraId="2E6F8408">
      <w:pPr>
        <w:pStyle w:val="3"/>
        <w:rPr>
          <w:rFonts w:ascii="Times New Roman" w:hAnsi="Times New Roman"/>
        </w:rPr>
      </w:pPr>
      <w:r>
        <w:rPr>
          <w:rFonts w:ascii="Times New Roman" w:hAnsi="Times New Roman"/>
        </w:rPr>
        <w:t>7. 验收清单</w:t>
      </w:r>
    </w:p>
    <w:p w14:paraId="5EB0E98F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生产 Compose 完整解析，Nginx 是唯一公网入口；</w:t>
      </w:r>
    </w:p>
    <w:p w14:paraId="066E8C41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管理员登录、用户管理、在线会话互斥与下线提示正常；</w:t>
      </w:r>
    </w:p>
    <w:p w14:paraId="129B893F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项目创建、项目设置、成员角色与 viewer 路由保护正常；</w:t>
      </w:r>
    </w:p>
    <w:p w14:paraId="5E67EBD9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自由创作图片、视频、Agent 模式及项目参数记忆正常；</w:t>
      </w:r>
    </w:p>
    <w:p w14:paraId="76CDDD9C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无限画布选择、拖拽、框选、组合、隐藏、删除、撤销与重做正常；</w:t>
      </w:r>
    </w:p>
    <w:p w14:paraId="480E5BF8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字幕卡片可编辑、拖拽、组合和隐藏，字幕派生关系显示正确；</w:t>
      </w:r>
    </w:p>
    <w:p w14:paraId="57F15EF5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项目 ZIP 只接受有效项目备份，导入成功或失败都有明确反馈；</w:t>
      </w:r>
    </w:p>
    <w:p w14:paraId="1D8DB249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FFmpeg 可用于视频合并、字幕、配音、缩略图与代理处理；</w:t>
      </w:r>
    </w:p>
    <w:p w14:paraId="14358FE1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项目与媒体在重启后仍可访问，备份与恢复演练通过；</w:t>
      </w:r>
    </w:p>
    <w:p w14:paraId="2A5E1438">
      <w:pPr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关于页、文档站、LICENSE、NOTICE 和对应源码下载可访问。</w:t>
      </w:r>
    </w:p>
    <w:p w14:paraId="0B768DA6">
      <w:pPr>
        <w:pStyle w:val="3"/>
        <w:rPr>
          <w:rFonts w:ascii="Times New Roman" w:hAnsi="Times New Roman"/>
        </w:rPr>
      </w:pPr>
      <w:r>
        <w:rPr>
          <w:rFonts w:ascii="Times New Roman" w:hAnsi="Times New Roman"/>
        </w:rPr>
        <w:t>8. 许可证、来源与对应源码</w:t>
      </w:r>
    </w:p>
    <w:p w14:paraId="37E6E86E">
      <w:p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MatrixSpooll 是 ArcReel 的修改版本，整体依据 GNU Affero General Public License v3.0 提供。交付、内部部署和有偿定制不会取消许可证授予接收方及网络用户的权利。</w:t>
      </w:r>
    </w:p>
    <w:p w14:paraId="0E503959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完整保留 LICENSE 与 NOTICE，不删除上游署名、来源链接和修改版本声明；</w:t>
      </w:r>
    </w:p>
    <w:p w14:paraId="5422C445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将当前运行版本的完整对应源码与构建脚本一并交付；</w:t>
      </w:r>
    </w:p>
    <w:p w14:paraId="24E827D6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通过登录后的关于页向实际网络用户提供当前版本源码下载；</w:t>
      </w:r>
    </w:p>
    <w:p w14:paraId="732D2313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不得以合同或技术措施限制接收方依 AGPL 使用、修改和再分发覆盖代码的权利；</w:t>
      </w:r>
    </w:p>
    <w:p w14:paraId="5E1AC5EE">
      <w:pPr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客户数据、剧本、图片、视频、音频和 API 凭证不因软件许可证自动改变权属。</w:t>
      </w:r>
    </w:p>
    <w:p w14:paraId="479962ED">
      <w:pPr>
        <w:pBdr>
          <w:left w:val="single" w:color="7A5A00" w:sz="16" w:space="6"/>
        </w:pBdr>
        <w:shd w:val="clear" w:fill="FFF7E6"/>
        <w:spacing w:before="80" w:after="160" w:line="269" w:lineRule="auto"/>
        <w:ind w:left="173" w:right="173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7A5A00"/>
          <w:sz w:val="20"/>
        </w:rPr>
        <w:t xml:space="preserve">法律提示  </w:t>
      </w:r>
      <w:r>
        <w:rPr>
          <w:rFonts w:ascii="Times New Roman" w:hAnsi="Times New Roman" w:eastAsia="微软雅黑"/>
          <w:color w:val="203040"/>
          <w:sz w:val="20"/>
        </w:rPr>
        <w:t>本节是交付执行清单，不构成针对具体合同、司法辖区或业务模式的法律意见。正式签约前应由专业法律顾问复核。</w:t>
      </w:r>
    </w:p>
    <w:p w14:paraId="6296D08D">
      <w:pPr>
        <w:pStyle w:val="3"/>
        <w:rPr>
          <w:rFonts w:ascii="Times New Roman" w:hAnsi="Times New Roman"/>
        </w:rPr>
      </w:pPr>
      <w:r>
        <w:rPr>
          <w:rFonts w:ascii="Times New Roman" w:hAnsi="Times New Roman"/>
        </w:rPr>
        <w:t>9. 支持边界与签收</w:t>
      </w:r>
    </w:p>
    <w:tbl>
      <w:tblPr>
        <w:tblStyle w:val="32"/>
        <w:tblW w:w="9360" w:type="dxa"/>
        <w:tblInd w:w="120" w:type="dxa"/>
        <w:tblBorders>
          <w:top w:val="single" w:color="D0D5DD" w:sz="4" w:space="0"/>
          <w:left w:val="single" w:color="D0D5DD" w:sz="4" w:space="0"/>
          <w:bottom w:val="single" w:color="D0D5DD" w:sz="4" w:space="0"/>
          <w:right w:val="single" w:color="D0D5DD" w:sz="4" w:space="0"/>
          <w:insideH w:val="single" w:color="D0D5DD" w:sz="4" w:space="0"/>
          <w:insideV w:val="single" w:color="D0D5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35250C9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EFE3C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通常包含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13244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/>
                <w:color w:val="203040"/>
                <w:sz w:val="19"/>
              </w:rPr>
              <w:t>通常不包含</w:t>
            </w:r>
          </w:p>
        </w:tc>
      </w:tr>
      <w:tr w14:paraId="7943B92B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2AA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交付版本可复现缺陷、部署启动、数据库迁移与文档说明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D3D33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第三方模型下线、涨价、限流、审核策略或输出质量变化</w:t>
            </w:r>
          </w:p>
        </w:tc>
      </w:tr>
      <w:tr w14:paraId="3125CE6C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3BC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已验收供应商接口的适配问题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B833D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客户自行修改源码、环境、网络或数据库导致的问题</w:t>
            </w:r>
          </w:p>
        </w:tc>
      </w:tr>
      <w:tr w14:paraId="1068AC59">
        <w:tblPrEx>
          <w:tblBorders>
            <w:top w:val="single" w:color="D0D5DD" w:sz="4" w:space="0"/>
            <w:left w:val="single" w:color="D0D5DD" w:sz="4" w:space="0"/>
            <w:bottom w:val="single" w:color="D0D5DD" w:sz="4" w:space="0"/>
            <w:right w:val="single" w:color="D0D5DD" w:sz="4" w:space="0"/>
            <w:insideH w:val="single" w:color="D0D5DD" w:sz="4" w:space="0"/>
            <w:insideV w:val="single" w:color="D0D5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7B9D5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约定期限内的使用培训和恢复协助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BD6F7">
            <w:pPr>
              <w:spacing w:before="0" w:after="40" w:line="259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微软雅黑"/>
                <w:b w:val="0"/>
                <w:color w:val="203040"/>
                <w:sz w:val="19"/>
              </w:rPr>
              <w:t>未列入验收清单的新功能、白标化、跨云迁移或多服务器改造</w:t>
            </w:r>
          </w:p>
        </w:tc>
      </w:tr>
    </w:tbl>
    <w:p w14:paraId="41709AE3">
      <w:pPr>
        <w:spacing w:after="0"/>
        <w:rPr>
          <w:rFonts w:ascii="Times New Roman" w:hAnsi="Times New Roman"/>
        </w:rPr>
      </w:pPr>
    </w:p>
    <w:p w14:paraId="7A7B081C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交付方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填写公司或个人名称</w:t>
      </w:r>
    </w:p>
    <w:p w14:paraId="6B4828E3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交付人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填写姓名</w:t>
      </w:r>
    </w:p>
    <w:p w14:paraId="0CF0FEFA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交付日期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填写实际日期</w:t>
      </w:r>
    </w:p>
    <w:p w14:paraId="0808BA0F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客户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填写客户名称</w:t>
      </w:r>
    </w:p>
    <w:p w14:paraId="7125E2E6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验收人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填写姓名</w:t>
      </w:r>
    </w:p>
    <w:p w14:paraId="34F93436">
      <w:pPr>
        <w:shd w:val="clear" w:fill="F2F4F7"/>
        <w:tabs>
          <w:tab w:val="left" w:pos="2700"/>
        </w:tabs>
        <w:spacing w:before="0" w:after="60" w:line="259" w:lineRule="auto"/>
        <w:ind w:left="120"/>
        <w:rPr>
          <w:rFonts w:ascii="Times New Roman" w:hAnsi="Times New Roman"/>
        </w:rPr>
      </w:pPr>
      <w:r>
        <w:rPr>
          <w:rFonts w:ascii="Times New Roman" w:hAnsi="Times New Roman" w:eastAsia="微软雅黑"/>
          <w:b/>
          <w:color w:val="1F4D78"/>
          <w:sz w:val="19"/>
        </w:rPr>
        <w:t>验收日期</w:t>
      </w:r>
      <w:r>
        <w:rPr>
          <w:rFonts w:ascii="Times New Roman" w:hAnsi="Times New Roman"/>
        </w:rPr>
        <w:tab/>
      </w:r>
      <w:r>
        <w:rPr>
          <w:rFonts w:ascii="Times New Roman" w:hAnsi="Times New Roman" w:eastAsia="微软雅黑"/>
          <w:color w:val="203040"/>
          <w:sz w:val="19"/>
        </w:rPr>
        <w:t>填写实际日期</w:t>
      </w:r>
    </w:p>
    <w:p w14:paraId="22C31BE0">
      <w:pPr>
        <w:spacing w:after="0"/>
        <w:rPr>
          <w:rFonts w:ascii="Times New Roman" w:hAnsi="Times New Roman"/>
        </w:rPr>
      </w:pPr>
    </w:p>
    <w:p w14:paraId="2EA36551">
      <w:pPr>
        <w:rPr>
          <w:rFonts w:ascii="Times New Roman" w:hAnsi="Times New Roman"/>
        </w:rPr>
      </w:pPr>
      <w:r>
        <w:rPr>
          <w:rFonts w:ascii="Times New Roman" w:hAnsi="Times New Roman" w:eastAsia="微软雅黑"/>
          <w:color w:val="203040"/>
        </w:rPr>
        <w:t>双方签字或盖章应以正式合同和验收单为准。本文件用于说明技术交付基线，不替代商务合同。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AD476">
    <w:pPr>
      <w:pStyle w:val="24"/>
      <w:spacing w:before="0"/>
      <w:jc w:val="right"/>
    </w:pPr>
    <w:r>
      <w:rPr>
        <w:rFonts w:ascii="Calibri" w:hAnsi="Calibri" w:eastAsia="微软雅黑"/>
        <w:color w:val="667085"/>
        <w:sz w:val="17"/>
      </w:rPr>
      <w:t xml:space="preserve">MatrixSpooll  |  </w:t>
    </w:r>
    <w:r>
      <w:fldChar w:fldCharType="begin"/>
    </w:r>
    <w:r>
      <w:instrText xml:space="preserve">PAGE</w:instrText>
    </w:r>
    <w:r>
      <w:fldChar w:fldCharType="separate"/>
    </w:r>
    <w:r>
      <w:rPr>
        <w:color w:val="667085"/>
        <w:sz w:val="17"/>
      </w:rPr>
      <w:t>1</w:t>
    </w:r>
    <w:r>
      <w:rPr>
        <w:color w:val="6670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F7993">
    <w:pPr>
      <w:pStyle w:val="25"/>
      <w:spacing w:after="0"/>
      <w:jc w:val="left"/>
    </w:pPr>
    <w:r>
      <w:rPr>
        <w:rFonts w:ascii="Calibri" w:hAnsi="Calibri" w:eastAsia="微软雅黑"/>
        <w:b/>
        <w:color w:val="667085"/>
        <w:sz w:val="18"/>
      </w:rPr>
      <w:t>MatrixSpooll | 项目交付文档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720"/>
        </w:tabs>
        <w:spacing w:before="0" w:after="160" w:line="280" w:lineRule="auto"/>
        <w:ind w:left="720" w:hanging="360"/>
      </w:pPr>
      <w:rPr>
        <w:rFonts w:ascii="Calibri" w:hAnsi="Calibri" w:eastAsia="微软雅黑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720"/>
        </w:tabs>
        <w:spacing w:before="0" w:after="160" w:line="280" w:lineRule="auto"/>
        <w:ind w:left="720" w:hanging="360"/>
      </w:pPr>
      <w:rPr>
        <w:rFonts w:ascii="Calibri" w:hAnsi="Calibri" w:eastAsia="微软雅黑"/>
      </w:rPr>
    </w:lvl>
  </w:abstractNum>
  <w:abstractNum w:abstractNumId="8">
    <w:nsid w:val="59ADCABA"/>
    <w:multiLevelType w:val="singleLevel"/>
    <w:tmpl w:val="59ADCABA"/>
    <w:lvl w:ilvl="0" w:tentative="0">
      <w:start w:val="1"/>
      <w:numFmt w:val="bullet"/>
      <w:lvlText w:val="□"/>
      <w:lvlJc w:val="left"/>
      <w:pPr>
        <w:tabs>
          <w:tab w:val="left" w:pos="720"/>
        </w:tabs>
        <w:spacing w:before="0" w:after="160" w:line="280" w:lineRule="auto"/>
        <w:ind w:left="720" w:hanging="360"/>
      </w:pPr>
      <w:rPr>
        <w:rFonts w:ascii="Calibri" w:hAnsi="Calibri" w:eastAsia="微软雅黑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907A51"/>
    <w:rsid w:val="551C0C5C"/>
    <w:rsid w:val="661D5F39"/>
    <w:rsid w:val="6907631B"/>
    <w:rsid w:val="76D63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264" w:lineRule="auto"/>
    </w:pPr>
    <w:rPr>
      <w:rFonts w:ascii="Calibri" w:hAnsi="Calibri" w:eastAsia="微软雅黑" w:cstheme="minorBidi"/>
      <w:color w:val="2030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 w:line="240" w:lineRule="auto"/>
      <w:outlineLvl w:val="0"/>
    </w:pPr>
    <w:rPr>
      <w:rFonts w:eastAsia="微软雅黑" w:asciiTheme="majorAscii" w:hAnsiTheme="majorAscii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240" w:lineRule="auto"/>
      <w:outlineLvl w:val="1"/>
    </w:pPr>
    <w:rPr>
      <w:rFonts w:eastAsia="微软雅黑" w:asciiTheme="majorAscii" w:hAnsiTheme="majorAscii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微软雅黑" w:asciiTheme="majorAscii" w:hAnsiTheme="majorAscii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eastAsia="微软雅黑" w:asciiTheme="majorAscii" w:hAnsiTheme="majorAsci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 Block"/>
    <w:uiPriority w:val="0"/>
    <w:pPr>
      <w:spacing w:before="80" w:after="160" w:line="240" w:lineRule="auto"/>
      <w:ind w:left="259" w:right="259"/>
    </w:pPr>
    <w:rPr>
      <w:rFonts w:ascii="Consolas" w:hAnsi="Consolas" w:eastAsia="微软雅黑" w:cstheme="minorBidi"/>
      <w:color w:val="203040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2110</Words>
  <Characters>3603</Characters>
  <Lines>0</Lines>
  <Paragraphs>0</Paragraphs>
  <TotalTime>8</TotalTime>
  <ScaleCrop>false</ScaleCrop>
  <LinksUpToDate>false</LinksUpToDate>
  <CharactersWithSpaces>3822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MatrixSpooll</dc:creator>
  <dc:description>generated by python-docx</dc:description>
  <cp:keywords>MatrixSpooll, AI video, delivery, user manual</cp:keywords>
  <cp:lastModifiedBy>WPS_1638675762</cp:lastModifiedBy>
  <dcterms:modified xsi:type="dcterms:W3CDTF">2026-08-29T02:12:46Z</dcterms:modified>
  <dc:subject>源码、部署、验收与许可证交付说明</dc:subject>
  <dc:title>MatrixSpooll 项目交付文档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eyJoZGlkIjoiYWVmMGE5NmZjMGQ1MjZmNjNlMzVhNmVlNzQ4NDEyZWIiLCJ1c2VySWQiOiIxMjk0NzEwMjE0In0=</vt:lpwstr>
  </property>
  <property fmtid="{D5CDD505-2E9C-101B-9397-08002B2CF9AE}" pid="3" name="KSOProductBuildVer">
    <vt:lpwstr>2052-12.1.0.28043</vt:lpwstr>
  </property>
  <property fmtid="{D5CDD505-2E9C-101B-9397-08002B2CF9AE}" pid="4" name="ICV">
    <vt:lpwstr>386849434A88448791025846E3155347_12</vt:lpwstr>
  </property>
</Properties>
</file>