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ns0:body>
    <ns0:p>
      <ns0:pPr>
        <ns0:jc ns0:val="center"/>
      </ns0:pPr>
      <ns0:r>
        <ns0:rPr>
          <ns0:b/>
          <ns0:color ns0:val="176B87"/>
          <ns0:sz ns0:val="38"/>
        </ns0:rPr>
        <ns0:t xml:space="preserve">RetainIQ</ns0:t>
      </ns0:r>
    </ns0:p>
    <ns0:p>
      <ns0:pPr>
        <ns0:jc ns0:val="center"/>
      </ns0:pPr>
      <ns0:r>
        <ns0:rPr>
          <ns0:b/>
          <ns0:sz ns0:val="26"/>
        </ns0:rPr>
        <ns0:t xml:space="preserve">Customer Churn Prediction and Retention Recommendation</ns0:t>
      </ns0:r>
    </ns0:p>
    <ns0:p>
      <ns0:pPr>
        <ns0:jc ns0:val="center"/>
      </ns0:pPr>
      <ns0:r>
        <ns0:rPr>
          <ns0:sz ns0:val="21"/>
        </ns0:rPr>
        <ns0:t xml:space="preserve">IBM Project Submission | Prepared by: Atasi Mahata | October 2026</ns0:t>
      </ns0:r>
    </ns0:p>
    <ns0:p>
      <ns0:r>
        <ns0:rPr>
          <ns0:sz ns0:val="21"/>
        </ns0:rPr>
        <ns0:t xml:space="preserve"/>
      </ns0:r>
    </ns0:p>
    <ns0:p>
      <ns0:r>
        <ns0:rPr>
          <ns0:b/>
          <ns0:color ns0:val="176B87"/>
          <ns0:sz ns0:val="26"/>
        </ns0:rPr>
        <ns0:t xml:space="preserve">Executive Summary</ns0:t>
      </ns0:r>
    </ns0:p>
    <ns0:p>
      <ns0:r>
        <ns0:rPr>
          <ns0:sz ns0:val="21"/>
        </ns0:rPr>
        <ns0:t xml:space="preserve">RetainIQ is an end-to-end decision-support project for subscription businesses. It estimates customer churn probability from account, contract, billing, payment, usage, satisfaction, and support information; explains influential model signals; and recommends a retention action. Deliverables include a self-contained Python notebook, FastAPI prediction service, Streamlit dashboard, and this report.</ns0:t>
      </ns0:r>
    </ns0:p>
    <ns0:p>
      <ns0:r>
        <ns0:rPr>
          <ns0:b/>
          <ns0:color ns0:val="176B87"/>
          <ns0:sz ns0:val="26"/>
        </ns0:rPr>
        <ns0:t xml:space="preserve">1. Problem Statement and Objectives</ns0:t>
      </ns0:r>
    </ns0:p>
    <ns0:p>
      <ns0:r>
        <ns0:rPr>
          <ns0:sz ns0:val="21"/>
        </ns0:rPr>
        <ns0:t xml:space="preserve">Subscription cancellations reduce recurring revenue. Customer-success teams need a consistent way to identify at-risk customers early, understand important risk signals, and select appropriate outreach. RetainIQ ranks customers for human review and offers a decision-support estimate. Objectives are to estimate churn probability and risk level, explain influential signals with SHAP, recommend retention actions, and estimate offer cost and illustrative ROI. The system does not automate cancellations or prove that an offer causes retention.</ns0:t>
      </ns0:r>
    </ns0:p>
    <ns0:p>
      <ns0:r>
        <ns0:rPr>
          <ns0:b/>
          <ns0:color ns0:val="176B87"/>
          <ns0:sz ns0:val="26"/>
        </ns0:rPr>
        <ns0:t xml:space="preserve">2. Dataset and Data Quality</ns0:t>
      </ns0:r>
    </ns0:p>
    <ns0:p>
      <ns0:r>
        <ns0:rPr>
          <ns0:sz ns0:val="21"/>
        </ns0:rPr>
        <ns0:t xml:space="preserve">The reproducible synthetic dataset contains 20,000 customers and 21 columns covering tenure, plans, contracts, charges, payment, auto-pay, support, satisfaction, product usage, login recency, discounts, price changes, failures, referrals, and a binary churn target. Churn is more likely with monthly contracts, higher charges, low engagement or satisfaction, support burden, payment failures, price increases, and stale logins. The generator adds noise, outliers, missing values, and end-of-billing-cycle seasonality. The supplied dataset has about 22 percent churn and 4,786 missing cells. Dataset file: data/churn_data.csv. It is synthetic and for demonstration only, not evidence about IBM customers or a real subscriber population.</ns0:t>
      </ns0:r>
    </ns0:p>
    <ns0:p>
      <ns0:r>
        <ns0:rPr>
          <ns0:b/>
          <ns0:color ns0:val="176B87"/>
          <ns0:sz ns0:val="26"/>
        </ns0:rPr>
        <ns0:t xml:space="preserve">3. Feature Engineering and Preprocessing</ns0:t>
      </ns0:r>
    </ns0:p>
    <ns0:p>
      <ns0:r>
        <ns0:rPr>
          <ns0:sz ns0:val="21"/>
        </ns0:rPr>
        <ns0:t xml:space="preserve">Derived features include tenure_bucket, charges_per_month, usage_trend, engagement_score, support_load, payment_reliability, recency_score, and loyalty_score. A ColumnTransformer imputes and scales numeric and binary data and imputes and one-hot encodes categorical data. Customer identifiers and signup dates are excluded from model inputs. Preprocessing is fitted within each training fold to avoid validation leakage.</ns0:t>
      </ns0:r>
    </ns0:p>
    <ns0:p>
      <ns0:r>
        <ns0:rPr>
          <ns0:b/>
          <ns0:color ns0:val="176B87"/>
          <ns0:sz ns0:val="26"/>
        </ns0:rPr>
        <ns0:t xml:space="preserve">4. Model Development and Validation</ns0:t>
      </ns0:r>
    </ns0:p>
    <ns0:p>
      <ns0:r>
        <ns0:rPr>
          <ns0:sz ns0:val="21"/>
        </ns0:rPr>
        <ns0:t xml:space="preserve">The notebook compares Logistic Regression, Random Forest, XGBoost, and LightGBM using a stratified train and holdout split and five-fold StratifiedKFold cross-validation. Models are compared using ROC-AUC and recall at a 0.40 threshold. Estimator-specific class weights address imbalance. Logistic Regression was selected by mean cross-validation ROC-AUC. The threshold emphasizes recall and produces more false-positive outreach.</ns0:t>
      </ns0:r>
    </ns0:p>
    <ns0:p>
      <ns0:r>
        <ns0:rPr>
          <ns0:b/>
          <ns0:color ns0:val="176B87"/>
          <ns0:sz ns0:val="26"/>
        </ns0:rPr>
        <ns0:t xml:space="preserve">5. Holdout Results</ns0:t>
      </ns0:r>
    </ns0:p>
    <ns0:p>
      <ns0:r>
        <ns0:rPr>
          <ns0:sz ns0:val="21"/>
        </ns0:rPr>
        <ns0:t xml:space="preserve">On the 4,000-customer stratified holdout set, the current run achieved accuracy 0.4640, precision 0.2635, recall 0.8000, F1 0.3964, ROC-AUC 0.6372, and PR-AUC 0.3132. At threshold 0.40, the confusion matrix contains 1,152 true negatives, 1,968 false positives, 176 false negatives, and 704 true positives. The highest-risk decile has 36.2 percent observed churn, approximately 1.65 times the 22.0 percent holdout prevalence. These results demonstrate ranking signal on synthetic data, but operating precision is low. Tune thresholds to outreach capacity and offer costs, validate calibration, and test on real customer data before use.</ns0:t>
      </ns0:r>
    </ns0:p>
    <ns0:p>
      <ns0:r>
        <ns0:rPr>
          <ns0:b/>
          <ns0:color ns0:val="176B87"/>
          <ns0:sz ns0:val="26"/>
        </ns0:rPr>
        <ns0:t xml:space="preserve">6. Explainability and Retention Recommendations</ns0:t>
      </ns0:r>
    </ns0:p>
    <ns0:p>
      <ns0:r>
        <ns0:rPr>
          <ns0:sz ns0:val="21"/>
        </ns0:rPr>
        <ns0:t xml:space="preserve">SHAP summary values identify features that influence predictions across a sample; customer-level contributions provide reason codes. Contract type, price increase, discounts, satisfaction, plan, auto-pay, recency, and tenure were influential in the demonstrated run. SHAP describes model behavior; it does not prove causality. The retention engine recommends discounts, a free month, a plan upgrade, priority support, a personal call, or a loyalty reward based on risk signals. Suggestions and costs are intended for human review.</ns0:t>
      </ns0:r>
    </ns0:p>
    <ns0:p>
      <ns0:r>
        <ns0:rPr>
          <ns0:b/>
          <ns0:color ns0:val="176B87"/>
          <ns0:sz ns0:val="26"/>
        </ns0:rPr>
        <ns0:t xml:space="preserve">7. Business Value and ROI</ns0:t>
      </ns0:r>
    </ns0:p>
    <ns0:p>
      <ns0:r>
        <ns0:rPr>
          <ns0:sz ns0:val="21"/>
        </ns0:rPr>
        <ns0:t xml:space="preserve">Expected revenue saved is estimated as churn probability multiplied by assumed offer-retention probability, monthly revenue, and 12 months. Offer cost is estimated from monthly charges, offer cost rate, and duration. Campaign ROI equals (expected saved revenue minus offer cost) divided by offer cost, multiplied by 100. These are assumption-based estimates, not measured incremental retention. They do not model what would have happened without an offer. Use a randomized holdout or credible causal design to measure campaign impact before making budget commitments.</ns0:t>
      </ns0:r>
    </ns0:p>
    <ns0:p>
      <ns0:r>
        <ns0:rPr>
          <ns0:b/>
          <ns0:color ns0:val="176B87"/>
          <ns0:sz ns0:val="26"/>
        </ns0:rPr>
        <ns0:t xml:space="preserve">8. Application and Run Instructions</ns0:t>
      </ns0:r>
    </ns0:p>
    <ns0:p>
      <ns0:r>
        <ns0:rPr>
          <ns0:sz ns0:val="21"/>
        </ns0:rPr>
        <ns0:t xml:space="preserve">Notebook: notebooks/Atasi_Mahata_RetainIQ.ipynb. Install dependencies with pip install -r requirements.txt in Python 3.11, then open the notebook and run its cells from top to bottom. It generates the synthetic dataset if absent and trains all four candidate models. The project also provides a FastAPI POST /predict endpoint and a five-page Streamlit dashboard for overview KPIs, customer exploration, high-risk alerts, real-time scoring, and model insights. Start with uvicorn src.api:app --reload --port 8000 and streamlit run app/app.py.</ns0:t>
      </ns0:r>
    </ns0:p>
    <ns0:p>
      <ns0:r>
        <ns0:rPr>
          <ns0:b/>
          <ns0:color ns0:val="176B87"/>
          <ns0:sz ns0:val="26"/>
        </ns0:rPr>
        <ns0:t xml:space="preserve">9. Limitations and Responsible Use</ns0:t>
      </ns0:r>
    </ns0:p>
    <ns0:p>
      <ns0:r>
        <ns0:rPr>
          <ns0:sz ns0:val="21"/>
        </ns0:rPr>
        <ns0:t xml:space="preserve">Synthetic-data metrics demonstrate the workflow, not production accuracy. Predictions can be wrong; review customer context before outreach or incentives. Monitor calibration, segment performance, drift, and false-positive burden. Apply privacy, access-control, and data-retention policies to customer data. Validate offer economics experimentally before committing campaign budgets.</ns0:t>
      </ns0:r>
    </ns0:p>
    <ns0:p>
      <ns0:r>
        <ns0:rPr>
          <ns0:b/>
          <ns0:color ns0:val="176B87"/>
          <ns0:sz ns0:val="26"/>
        </ns0:rPr>
        <ns0:t xml:space="preserve">Conclusion</ns0:t>
      </ns0:r>
    </ns0:p>
    <ns0:p>
      <ns0:r>
        <ns0:rPr>
          <ns0:sz ns0:val="21"/>
        </ns0:rPr>
        <ns0:t xml:space="preserve">RetainIQ demonstrates a complete churn-risk workflow from synthetic data generation through model evaluation, explanation, offer recommendation, and dashboard/API delivery. Production use requires governed real-world data and controlled experiments to validate incremental retention.</ns0:t>
      </ns0:r>
    </ns0:p>
    <ns0:sectPr>
      <ns0:pgSz ns0:w="12240" ns0:h="15840"/>
      <ns0:pgMar ns0:top="900" ns0:right="1080" ns0:bottom="900" ns0:left="1080" ns0:header="450" ns0:footer="450" ns0:gutter="0"/>
    </ns0:sectPr>
  </ns0:body>
</ns0:document>
</file>