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9ECC" w14:textId="77777777" w:rsidR="005E14BC" w:rsidRPr="001C33C8" w:rsidRDefault="005E14BC" w:rsidP="001C33C8"/>
    <w:p>
      <w:pPr>
        <w:pStyle w:val="Heading10"/>
        <w:tabs>
          <w:tab w:pos="10772" w:val="right"/>
        </w:tabs>
      </w:pPr>
      <w:r>
        <w:t>Atchison Dynamic ETF 98 SMA</w:t>
      </w:r>
      <w:r>
        <w:tab/>
      </w:r>
      <w:r>
        <w:t>31 March 2026</w:t>
      </w:r>
    </w:p>
    <w:tbl>
      <w:tblPr>
        <w:tblStyle w:val="AtchisonTable1"/>
        <w:tblW w:type="auto" w:w="0"/>
        <w:tblLook w:firstColumn="1" w:firstRow="1" w:lastColumn="0" w:lastRow="0" w:noHBand="0" w:noVBand="1" w:val="04A0"/>
      </w:tblPr>
      <w:tblGrid>
        <w:gridCol w:w="1579"/>
        <w:gridCol w:w="1579"/>
        <w:gridCol w:w="1579"/>
        <w:gridCol w:w="1579"/>
        <w:gridCol w:w="1579"/>
        <w:gridCol w:w="1579"/>
        <w:gridCol w:w="1579"/>
      </w:tblGrid>
      <w:tr>
        <w:tc>
          <w:tcPr>
            <w:tcW w:type="dxa" w:w="2551"/>
          </w:tcPr>
          <w:p/>
        </w:tc>
        <w:tc>
          <w:tcPr>
            <w:tcW w:type="dxa" w:w="1370"/>
          </w:tcPr>
          <w:p>
            <w:r>
              <w:t>3 Months</w:t>
            </w:r>
          </w:p>
        </w:tc>
        <w:tc>
          <w:tcPr>
            <w:tcW w:type="dxa" w:w="1370"/>
          </w:tcPr>
          <w:p>
            <w:r>
              <w:t>6 Months</w:t>
            </w:r>
          </w:p>
        </w:tc>
        <w:tc>
          <w:tcPr>
            <w:tcW w:type="dxa" w:w="1370"/>
          </w:tcPr>
          <w:p>
            <w:r>
              <w:t>1 Year</w:t>
            </w:r>
          </w:p>
        </w:tc>
        <w:tc>
          <w:tcPr>
            <w:tcW w:type="dxa" w:w="1370"/>
          </w:tcPr>
          <w:p>
            <w:r>
              <w:t>2 Years (p.a.)</w:t>
            </w:r>
          </w:p>
        </w:tc>
        <w:tc>
          <w:tcPr>
            <w:tcW w:type="dxa" w:w="1370"/>
          </w:tcPr>
          <w:p>
            <w:r>
              <w:t>3 Years (p.a.)</w:t>
            </w:r>
          </w:p>
        </w:tc>
        <w:tc>
          <w:tcPr>
            <w:tcW w:type="dxa" w:w="1370"/>
          </w:tcPr>
          <w:p>
            <w:r>
              <w:t>Since Inception (p.a.)</w:t>
            </w:r>
          </w:p>
        </w:tc>
      </w:tr>
      <w:tr>
        <w:tc>
          <w:tcPr>
            <w:tcW w:type="dxa" w:w="2551"/>
          </w:tcPr>
          <w:p>
            <w:r>
              <w:t>Atchison98ETF</w:t>
            </w:r>
          </w:p>
        </w:tc>
        <w:tc>
          <w:tcPr>
            <w:tcW w:type="dxa" w:w="1370"/>
          </w:tcPr>
          <w:p>
            <w:r>
              <w:rPr>
                <w:b/>
              </w:rPr>
              <w:t>-4.44</w:t>
            </w:r>
          </w:p>
        </w:tc>
        <w:tc>
          <w:tcPr>
            <w:tcW w:type="dxa" w:w="1370"/>
          </w:tcPr>
          <w:p>
            <w:r>
              <w:rPr>
                <w:b/>
              </w:rPr>
              <w:t>-2.55</w:t>
            </w:r>
          </w:p>
        </w:tc>
        <w:tc>
          <w:tcPr>
            <w:tcW w:type="dxa" w:w="1370"/>
          </w:tcPr>
          <w:p>
            <w:r>
              <w:rPr>
                <w:b/>
              </w:rPr>
              <w:t>10.56</w:t>
            </w:r>
          </w:p>
        </w:tc>
        <w:tc>
          <w:tcPr>
            <w:tcW w:type="dxa" w:w="1370"/>
          </w:tcPr>
          <w:p>
            <w:r>
              <w:rPr>
                <w:b/>
              </w:rPr>
              <w:t>10.1</w:t>
            </w:r>
          </w:p>
        </w:tc>
        <w:tc>
          <w:tcPr>
            <w:tcW w:type="dxa" w:w="1370"/>
          </w:tcPr>
          <w:p>
            <w:r>
              <w:rPr>
                <w:b/>
              </w:rPr>
              <w:t>12.6</w:t>
            </w:r>
          </w:p>
        </w:tc>
        <w:tc>
          <w:tcPr>
            <w:tcW w:type="dxa" w:w="1370"/>
          </w:tcPr>
          <w:p>
            <w:r>
              <w:rPr>
                <w:b/>
              </w:rPr>
              <w:t>13.03</w:t>
            </w:r>
          </w:p>
        </w:tc>
      </w:tr>
      <w:tr>
        <w:tc>
          <w:tcPr>
            <w:tcW w:type="dxa" w:w="2551"/>
          </w:tcPr>
          <w:p>
            <w:r>
              <w:t>Peer Group</w:t>
            </w:r>
          </w:p>
        </w:tc>
        <w:tc>
          <w:tcPr>
            <w:tcW w:type="dxa" w:w="1370"/>
          </w:tcPr>
          <w:p>
            <w:r>
              <w:t>-3.18</w:t>
            </w:r>
          </w:p>
        </w:tc>
        <w:tc>
          <w:tcPr>
            <w:tcW w:type="dxa" w:w="1370"/>
          </w:tcPr>
          <w:p>
            <w:r>
              <w:t>-2.39</w:t>
            </w:r>
          </w:p>
        </w:tc>
        <w:tc>
          <w:tcPr>
            <w:tcW w:type="dxa" w:w="1370"/>
          </w:tcPr>
          <w:p>
            <w:r>
              <w:t>7.71</w:t>
            </w:r>
          </w:p>
        </w:tc>
        <w:tc>
          <w:tcPr>
            <w:tcW w:type="dxa" w:w="1370"/>
          </w:tcPr>
          <w:p>
            <w:r>
              <w:t>6.65</w:t>
            </w:r>
          </w:p>
        </w:tc>
        <w:tc>
          <w:tcPr>
            <w:tcW w:type="dxa" w:w="1370"/>
          </w:tcPr>
          <w:p>
            <w:r>
              <w:t>9.53</w:t>
            </w:r>
          </w:p>
        </w:tc>
        <w:tc>
          <w:tcPr>
            <w:tcW w:type="dxa" w:w="1370"/>
          </w:tcPr>
          <w:p>
            <w:r>
              <w:t>10.29</w:t>
            </w:r>
          </w:p>
        </w:tc>
      </w:tr>
      <w:tr>
        <w:tc>
          <w:tcPr>
            <w:tcW w:type="dxa" w:w="2551"/>
          </w:tcPr>
          <w:p>
            <w:r>
              <w:t>Inflation</w:t>
            </w:r>
          </w:p>
        </w:tc>
        <w:tc>
          <w:tcPr>
            <w:tcW w:type="dxa" w:w="1370"/>
          </w:tcPr>
          <w:p>
            <w:r>
              <w:t>-0.02</w:t>
            </w:r>
          </w:p>
        </w:tc>
        <w:tc>
          <w:tcPr>
            <w:tcW w:type="dxa" w:w="1370"/>
          </w:tcPr>
          <w:p>
            <w:r>
              <w:t>0.78</w:t>
            </w:r>
          </w:p>
        </w:tc>
        <w:tc>
          <w:tcPr>
            <w:tcW w:type="dxa" w:w="1370"/>
          </w:tcPr>
          <w:p>
            <w:r>
              <w:t>3.68</w:t>
            </w:r>
          </w:p>
        </w:tc>
        <w:tc>
          <w:tcPr>
            <w:tcW w:type="dxa" w:w="1370"/>
          </w:tcPr>
          <w:p>
            <w:r>
              <w:t>3.02</w:t>
            </w:r>
          </w:p>
        </w:tc>
        <w:tc>
          <w:tcPr>
            <w:tcW w:type="dxa" w:w="1370"/>
          </w:tcPr>
          <w:p>
            <w:r>
              <w:t>3.19</w:t>
            </w:r>
          </w:p>
        </w:tc>
        <w:tc>
          <w:tcPr>
            <w:tcW w:type="dxa" w:w="1370"/>
          </w:tcPr>
          <w:p>
            <w:r>
              <w:t>2.95</w:t>
            </w:r>
          </w:p>
        </w:tc>
      </w:tr>
      <w:tr>
        <w:tc>
          <w:tcPr>
            <w:tcW w:type="dxa" w:w="2551"/>
          </w:tcPr>
          <w:p>
            <w:r>
              <w:t>Outperformance vs Peers</w:t>
            </w:r>
          </w:p>
        </w:tc>
        <w:tc>
          <w:tcPr>
            <w:tcW w:type="dxa" w:w="1370"/>
          </w:tcPr>
          <w:p>
            <w:r>
              <w:t>-1.26</w:t>
            </w:r>
          </w:p>
        </w:tc>
        <w:tc>
          <w:tcPr>
            <w:tcW w:type="dxa" w:w="1370"/>
          </w:tcPr>
          <w:p>
            <w:r>
              <w:t>-0.16</w:t>
            </w:r>
          </w:p>
        </w:tc>
        <w:tc>
          <w:tcPr>
            <w:tcW w:type="dxa" w:w="1370"/>
          </w:tcPr>
          <w:p>
            <w:r>
              <w:t>2.84</w:t>
            </w:r>
          </w:p>
        </w:tc>
        <w:tc>
          <w:tcPr>
            <w:tcW w:type="dxa" w:w="1370"/>
          </w:tcPr>
          <w:p>
            <w:r>
              <w:t>3.45</w:t>
            </w:r>
          </w:p>
        </w:tc>
        <w:tc>
          <w:tcPr>
            <w:tcW w:type="dxa" w:w="1370"/>
          </w:tcPr>
          <w:p>
            <w:r>
              <w:t>3.06</w:t>
            </w:r>
          </w:p>
        </w:tc>
        <w:tc>
          <w:tcPr>
            <w:tcW w:type="dxa" w:w="1370"/>
          </w:tcPr>
          <w:p>
            <w:r>
              <w:t>2.74</w:t>
            </w:r>
          </w:p>
        </w:tc>
      </w:tr>
      <w:tr>
        <w:tc>
          <w:tcPr>
            <w:tcW w:type="dxa" w:w="2551"/>
          </w:tcPr>
          <w:p>
            <w:r>
              <w:t>Outperformance vs Inflation</w:t>
            </w:r>
          </w:p>
        </w:tc>
        <w:tc>
          <w:tcPr>
            <w:tcW w:type="dxa" w:w="1370"/>
          </w:tcPr>
          <w:p>
            <w:r>
              <w:t>-4.42</w:t>
            </w:r>
          </w:p>
        </w:tc>
        <w:tc>
          <w:tcPr>
            <w:tcW w:type="dxa" w:w="1370"/>
          </w:tcPr>
          <w:p>
            <w:r>
              <w:t>-3.34</w:t>
            </w:r>
          </w:p>
        </w:tc>
        <w:tc>
          <w:tcPr>
            <w:tcW w:type="dxa" w:w="1370"/>
          </w:tcPr>
          <w:p>
            <w:r>
              <w:t>6.88</w:t>
            </w:r>
          </w:p>
        </w:tc>
        <w:tc>
          <w:tcPr>
            <w:tcW w:type="dxa" w:w="1370"/>
          </w:tcPr>
          <w:p>
            <w:r>
              <w:t>7.08</w:t>
            </w:r>
          </w:p>
        </w:tc>
        <w:tc>
          <w:tcPr>
            <w:tcW w:type="dxa" w:w="1370"/>
          </w:tcPr>
          <w:p>
            <w:r>
              <w:t>9.41</w:t>
            </w:r>
          </w:p>
        </w:tc>
        <w:tc>
          <w:tcPr>
            <w:tcW w:type="dxa" w:w="1370"/>
          </w:tcPr>
          <w:p>
            <w:r>
              <w:t>10.08</w:t>
            </w:r>
          </w:p>
        </w:tc>
      </w:tr>
    </w:tbl>
    <w:p>
      <w:pPr>
        <w:pStyle w:val="Note"/>
      </w:pPr>
      <w:r>
        <w:t>Inception Date: 31 December 2022</w:t>
      </w:r>
    </w:p>
    <w:p>
      <w:pPr>
        <w:sectPr>
          <w:headerReference w:type="default" r:id="rId11"/>
          <w:footerReference w:type="default" r:id="rId12"/>
          <w:headerReference w:type="first" r:id="rId13"/>
          <w:footerReference w:type="first" r:id="rId14"/>
          <w:type w:val="continuous"/>
          <w:pgSz w:w="11900" w:h="16840" w:code="9"/>
          <w:pgMar w:top="0" w:right="420" w:bottom="0" w:left="425" w:header="0" w:footer="451" w:gutter="0"/>
          <w:cols w:space="284"/>
          <w:docGrid w:linePitch="360"/>
        </w:sectPr>
      </w:pPr>
    </w:p>
    <w:p>
      <w:pPr>
        <w:pStyle w:val="Heading20"/>
      </w:pPr>
      <w:r>
        <w:t>Investment Objective</w:t>
      </w:r>
    </w:p>
    <w:p>
      <w:pPr>
        <w:pStyle w:val="BodyStyle"/>
      </w:pPr>
      <w:r>
        <w:t>Outperform the FE AMI Mixed Asset – Aggresive Peer Index, after underlying manager fees and before tax, over rolling ten-year periods.</w:t>
      </w:r>
    </w:p>
    <w:p>
      <w:pPr>
        <w:pStyle w:val="Heading20"/>
      </w:pPr>
      <w:r>
        <w:t>Strategy Overview</w:t>
      </w:r>
    </w:p>
    <w:p>
      <w:pPr>
        <w:pStyle w:val="BodyStyle"/>
      </w:pPr>
      <w:r>
        <w:t>Atchison Dynamic ETF 70 Portfolio is a Separately Managed Account (SMA), which is an all-inclusive diversified, multi-asset, low-cost ETF investment portfolio professionally managed for you (the client) on behalf of a financial advisor. This portfolio is  98% growth assets, and 2% defensive assets. Asset classes include Australian Shares, Global Shares, Alternatives, Floating Rate, Long Duration, Real Assets and Cash.</w:t>
      </w:r>
    </w:p>
    <w:tbl>
      <w:tblPr>
        <w:tblStyle w:val="AtchisonTable1"/>
        <w:tblW w:type="auto" w:w="0"/>
        <w:tblLook w:firstColumn="1" w:firstRow="1" w:lastColumn="0" w:lastRow="0" w:noHBand="0" w:noVBand="1" w:val="04A0"/>
      </w:tblPr>
      <w:tblGrid>
        <w:gridCol w:w="5527"/>
        <w:gridCol w:w="5527"/>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Atchison</w:t>
            </w:r>
          </w:p>
        </w:tc>
      </w:tr>
      <w:tr>
        <w:tc>
          <w:tcPr>
            <w:tcW w:type="dxa" w:w="2268"/>
          </w:tcPr>
          <w:p>
            <w:r>
              <w:t>Benchmark</w:t>
            </w:r>
          </w:p>
        </w:tc>
        <w:tc>
          <w:tcPr>
            <w:tcW w:type="dxa" w:w="3118"/>
          </w:tcPr>
          <w:p>
            <w:r>
              <w:t>FE AMI Mixed Asset – Aggressive Peer Index</w:t>
            </w:r>
          </w:p>
        </w:tc>
      </w:tr>
      <w:tr>
        <w:tc>
          <w:tcPr>
            <w:tcW w:type="dxa" w:w="2268"/>
          </w:tcPr>
          <w:p>
            <w:r>
              <w:t>Inception Date</w:t>
            </w:r>
          </w:p>
        </w:tc>
        <w:tc>
          <w:tcPr>
            <w:tcW w:type="dxa" w:w="3118"/>
          </w:tcPr>
          <w:p>
            <w:r>
              <w:t>31 December 2022</w:t>
            </w:r>
          </w:p>
        </w:tc>
      </w:tr>
      <w:tr>
        <w:tc>
          <w:tcPr>
            <w:tcW w:type="dxa" w:w="2268"/>
          </w:tcPr>
          <w:p>
            <w:r>
              <w:t>Investment Horizon</w:t>
            </w:r>
          </w:p>
        </w:tc>
        <w:tc>
          <w:tcPr>
            <w:tcW w:type="dxa" w:w="3118"/>
          </w:tcPr>
          <w:p>
            <w:r>
              <w:t>10 Years</w:t>
            </w:r>
          </w:p>
        </w:tc>
      </w:tr>
      <w:tr>
        <w:tc>
          <w:tcPr>
            <w:tcW w:type="dxa" w:w="2268"/>
          </w:tcPr>
          <w:p>
            <w:r>
              <w:t>Risk Level (SRM)</w:t>
            </w:r>
          </w:p>
        </w:tc>
        <w:tc>
          <w:tcPr>
            <w:tcW w:type="dxa" w:w="3118"/>
          </w:tcPr>
          <w:p>
            <w:r>
              <w:t>High</w:t>
            </w:r>
          </w:p>
        </w:tc>
      </w:tr>
      <w:tr>
        <w:tc>
          <w:tcPr>
            <w:tcW w:type="dxa" w:w="2268"/>
          </w:tcPr>
          <w:p>
            <w:r>
              <w:t>Min Investment</w:t>
            </w:r>
          </w:p>
        </w:tc>
        <w:tc>
          <w:tcPr>
            <w:tcW w:type="dxa" w:w="3118"/>
          </w:tcPr>
          <w:p>
            <w:r>
              <w:t>25k</w:t>
            </w:r>
          </w:p>
        </w:tc>
      </w:tr>
      <w:tr>
        <w:tc>
          <w:tcPr>
            <w:tcW w:type="dxa" w:w="2268"/>
          </w:tcPr>
          <w:p>
            <w:r>
              <w:t>Product Fee</w:t>
            </w:r>
          </w:p>
        </w:tc>
        <w:tc>
          <w:tcPr>
            <w:tcW w:type="dxa" w:w="3118"/>
          </w:tcPr>
          <w:p>
            <w:r>
              <w:t>Platform Specific - Refer to PDS</w:t>
            </w:r>
          </w:p>
        </w:tc>
      </w:tr>
      <w:tr>
        <w:tc>
          <w:tcPr>
            <w:tcW w:type="dxa" w:w="2268"/>
          </w:tcPr>
          <w:p>
            <w:r>
              <w:t>Underlying MER</w:t>
            </w:r>
          </w:p>
        </w:tc>
        <w:tc>
          <w:tcPr>
            <w:tcW w:type="dxa" w:w="3118"/>
          </w:tcPr>
          <w:p>
            <w:r>
              <w:t>0.15%</w:t>
            </w:r>
          </w:p>
        </w:tc>
      </w:tr>
      <w:tr>
        <w:tc>
          <w:tcPr>
            <w:tcW w:type="dxa" w:w="2268"/>
          </w:tcPr>
          <w:p>
            <w:r>
              <w:t>Underlying Perf Fees</w:t>
            </w:r>
          </w:p>
        </w:tc>
        <w:tc>
          <w:tcPr>
            <w:tcW w:type="dxa" w:w="3118"/>
          </w:tcPr>
          <w:p>
            <w:r>
              <w:t>0.00%</w:t>
            </w:r>
          </w:p>
        </w:tc>
      </w:tr>
    </w:tbl>
    <w:p>
      <w:pPr>
        <w:pStyle w:val="Heading30"/>
      </w:pPr>
      <w:r>
        <w:t>Top 10 Share Exposures</w:t>
      </w:r>
    </w:p>
    <w:tbl>
      <w:tblPr>
        <w:tblStyle w:val="AtchisonTable1"/>
        <w:tblW w:type="auto" w:w="0"/>
        <w:tblLook w:firstColumn="1" w:firstRow="1" w:lastColumn="0" w:lastRow="0" w:noHBand="0" w:noVBand="1" w:val="04A0"/>
      </w:tblPr>
      <w:tblGrid>
        <w:gridCol w:w="5527"/>
        <w:gridCol w:w="5527"/>
      </w:tblGrid>
      <w:tr>
        <w:tc>
          <w:tcPr>
            <w:tcW w:type="dxa" w:w="1417"/>
          </w:tcPr>
          <w:p>
            <w:r>
              <w:rPr>
                <w:b/>
              </w:rPr>
              <w:t>Code</w:t>
            </w:r>
          </w:p>
        </w:tc>
        <w:tc>
          <w:tcPr>
            <w:tcW w:type="dxa" w:w="3685"/>
          </w:tcPr>
          <w:p>
            <w:r>
              <w:rPr>
                <w:b/>
              </w:rPr>
              <w:t>Name</w:t>
            </w:r>
          </w:p>
        </w:tc>
      </w:tr>
      <w:tr>
        <w:tc>
          <w:tcPr>
            <w:tcW w:type="dxa" w:w="1417"/>
          </w:tcPr>
          <w:p>
            <w:r>
              <w:t>BHP-AU</w:t>
            </w:r>
          </w:p>
        </w:tc>
        <w:tc>
          <w:tcPr>
            <w:tcW w:type="dxa" w:w="3685"/>
          </w:tcPr>
          <w:p>
            <w:r>
              <w:t>BHP Group Limited</w:t>
            </w:r>
          </w:p>
        </w:tc>
      </w:tr>
      <w:tr>
        <w:tc>
          <w:tcPr>
            <w:tcW w:type="dxa" w:w="1417"/>
          </w:tcPr>
          <w:p>
            <w:r>
              <w:t>CBA-AU</w:t>
            </w:r>
          </w:p>
        </w:tc>
        <w:tc>
          <w:tcPr>
            <w:tcW w:type="dxa" w:w="3685"/>
          </w:tcPr>
          <w:p>
            <w:r>
              <w:t>Commonwealth Bank of Australia</w:t>
            </w:r>
          </w:p>
        </w:tc>
      </w:tr>
      <w:tr>
        <w:tc>
          <w:tcPr>
            <w:tcW w:type="dxa" w:w="1417"/>
          </w:tcPr>
          <w:p>
            <w:r>
              <w:t>WDS-AU</w:t>
            </w:r>
          </w:p>
        </w:tc>
        <w:tc>
          <w:tcPr>
            <w:tcW w:type="dxa" w:w="3685"/>
          </w:tcPr>
          <w:p>
            <w:r>
              <w:t>Woodside Energy Group Ltd</w:t>
            </w:r>
          </w:p>
        </w:tc>
      </w:tr>
      <w:tr>
        <w:tc>
          <w:tcPr>
            <w:tcW w:type="dxa" w:w="1417"/>
          </w:tcPr>
          <w:p>
            <w:r>
              <w:t>AAPL.NAS</w:t>
            </w:r>
          </w:p>
        </w:tc>
        <w:tc>
          <w:tcPr>
            <w:tcW w:type="dxa" w:w="3685"/>
          </w:tcPr>
          <w:p>
            <w:r>
              <w:t>APPLE INC</w:t>
            </w:r>
          </w:p>
        </w:tc>
      </w:tr>
      <w:tr>
        <w:tc>
          <w:tcPr>
            <w:tcW w:type="dxa" w:w="1417"/>
          </w:tcPr>
          <w:p>
            <w:r>
              <w:t>NAB-AU</w:t>
            </w:r>
          </w:p>
        </w:tc>
        <w:tc>
          <w:tcPr>
            <w:tcW w:type="dxa" w:w="3685"/>
          </w:tcPr>
          <w:p>
            <w:r>
              <w:t>National Australia Bank Limited</w:t>
            </w:r>
          </w:p>
        </w:tc>
      </w:tr>
      <w:tr>
        <w:tc>
          <w:tcPr>
            <w:tcW w:type="dxa" w:w="1417"/>
          </w:tcPr>
          <w:p>
            <w:r>
              <w:t>MSFT.NAS</w:t>
            </w:r>
          </w:p>
        </w:tc>
        <w:tc>
          <w:tcPr>
            <w:tcW w:type="dxa" w:w="3685"/>
          </w:tcPr>
          <w:p>
            <w:r>
              <w:t>MICROSOFT CORP</w:t>
            </w:r>
          </w:p>
        </w:tc>
      </w:tr>
      <w:tr>
        <w:tc>
          <w:tcPr>
            <w:tcW w:type="dxa" w:w="1417"/>
          </w:tcPr>
          <w:p>
            <w:r>
              <w:t>ANZ-AU</w:t>
            </w:r>
          </w:p>
        </w:tc>
        <w:tc>
          <w:tcPr>
            <w:tcW w:type="dxa" w:w="3685"/>
          </w:tcPr>
          <w:p>
            <w:r>
              <w:t>ANZ Group Holdings Limited</w:t>
            </w:r>
          </w:p>
        </w:tc>
      </w:tr>
      <w:tr>
        <w:tc>
          <w:tcPr>
            <w:tcW w:type="dxa" w:w="1417"/>
          </w:tcPr>
          <w:p>
            <w:r>
              <w:t>WBC-AU</w:t>
            </w:r>
          </w:p>
        </w:tc>
        <w:tc>
          <w:tcPr>
            <w:tcW w:type="dxa" w:w="3685"/>
          </w:tcPr>
          <w:p>
            <w:r>
              <w:t>Westpac Banking Corporation</w:t>
            </w:r>
          </w:p>
        </w:tc>
      </w:tr>
      <w:tr>
        <w:tc>
          <w:tcPr>
            <w:tcW w:type="dxa" w:w="1417"/>
          </w:tcPr>
          <w:p>
            <w:r>
              <w:t>NVDA.NAS</w:t>
            </w:r>
          </w:p>
        </w:tc>
        <w:tc>
          <w:tcPr>
            <w:tcW w:type="dxa" w:w="3685"/>
          </w:tcPr>
          <w:p>
            <w:r>
              <w:t>NVIDIA CORP</w:t>
            </w:r>
          </w:p>
        </w:tc>
      </w:tr>
      <w:tr>
        <w:tc>
          <w:tcPr>
            <w:tcW w:type="dxa" w:w="1417"/>
          </w:tcPr>
          <w:p>
            <w:r>
              <w:t>TLS-AU</w:t>
            </w:r>
          </w:p>
        </w:tc>
        <w:tc>
          <w:tcPr>
            <w:tcW w:type="dxa" w:w="3685"/>
          </w:tcPr>
          <w:p>
            <w:r>
              <w:t>Telstra Group Limited</w:t>
            </w:r>
          </w:p>
        </w:tc>
      </w:tr>
    </w:tbl>
    <w:br w:type="column"/>
    <w:p>
      <w:pPr>
        <w:pStyle w:val="Heading30"/>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7"/>
                    <a:stretch>
                      <a:fillRect/>
                    </a:stretch>
                  </pic:blipFill>
                  <pic:spPr>
                    <a:xfrm>
                      <a:off x="0" y="0"/>
                      <a:ext cx="3240000" cy="1800000"/>
                    </a:xfrm>
                    <a:prstGeom prst="rect"/>
                  </pic:spPr>
                </pic:pic>
              </a:graphicData>
            </a:graphic>
          </wp:inline>
        </w:drawing>
      </w:r>
    </w:p>
    <w:p>
      <w:pPr>
        <w:pStyle w:val="Heading30"/>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18"/>
                    <a:stretch>
                      <a:fillRect/>
                    </a:stretch>
                  </pic:blipFill>
                  <pic:spPr>
                    <a:xfrm>
                      <a:off x="0" y="0"/>
                      <a:ext cx="3240000" cy="2160000"/>
                    </a:xfrm>
                    <a:prstGeom prst="rect"/>
                  </pic:spPr>
                </pic:pic>
              </a:graphicData>
            </a:graphic>
          </wp:inline>
        </w:drawing>
      </w:r>
    </w:p>
    <w:p>
      <w:pPr>
        <w:pStyle w:val="Heading30"/>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19"/>
                    <a:stretch>
                      <a:fillRect/>
                    </a:stretch>
                  </pic:blipFill>
                  <pic:spPr>
                    <a:xfrm>
                      <a:off x="0" y="0"/>
                      <a:ext cx="3240000" cy="1800000"/>
                    </a:xfrm>
                    <a:prstGeom prst="rect"/>
                  </pic:spPr>
                </pic:pic>
              </a:graphicData>
            </a:graphic>
          </wp:inline>
        </w:drawing>
      </w:r>
    </w:p>
    <w:br w:type="column"/>
    <w:p>
      <w:pPr>
        <w:pStyle w:val="Heading30"/>
      </w:pPr>
      <w:r>
        <w:t>Asset Class Performance</w:t>
      </w:r>
    </w:p>
    <w:tbl>
      <w:tblPr>
        <w:tblStyle w:val="AtchisonTable1"/>
        <w:tblW w:type="auto" w:w="0"/>
        <w:tblLook w:firstColumn="1" w:firstRow="1" w:lastColumn="0" w:lastRow="0" w:noHBand="0" w:noVBand="1" w:val="04A0"/>
      </w:tblPr>
      <w:tblGrid>
        <w:gridCol w:w="3685"/>
        <w:gridCol w:w="3685"/>
        <w:gridCol w:w="3685"/>
      </w:tblGrid>
      <w:tr>
        <w:tc>
          <w:tcPr>
            <w:tcW w:type="dxa" w:w="1984"/>
          </w:tcPr>
          <w:p>
            <w:r>
              <w:rPr>
                <w:b/>
              </w:rPr>
              <w:t>Period</w:t>
            </w:r>
          </w:p>
        </w:tc>
        <w:tc>
          <w:tcPr>
            <w:tcW w:type="dxa" w:w="1559"/>
          </w:tcPr>
          <w:p>
            <w:r>
              <w:rPr>
                <w:b/>
              </w:rPr>
              <w:t>1 Year</w:t>
            </w:r>
          </w:p>
        </w:tc>
        <w:tc>
          <w:tcPr>
            <w:tcW w:type="dxa" w:w="1559"/>
          </w:tcPr>
          <w:p>
            <w:r>
              <w:rPr>
                <w:b/>
              </w:rPr>
              <w:t>3 Years (p.a.)</w:t>
            </w:r>
          </w:p>
        </w:tc>
      </w:tr>
      <w:tr>
        <w:tc>
          <w:tcPr>
            <w:tcW w:type="dxa" w:w="1984"/>
          </w:tcPr>
          <w:p>
            <w:r>
              <w:t>Australian Shares</w:t>
            </w:r>
          </w:p>
        </w:tc>
        <w:tc>
          <w:tcPr>
            <w:tcW w:type="dxa" w:w="1559"/>
          </w:tcPr>
          <w:p>
            <w:r>
              <w:t>11.13</w:t>
            </w:r>
          </w:p>
        </w:tc>
        <w:tc>
          <w:tcPr>
            <w:tcW w:type="dxa" w:w="1559"/>
          </w:tcPr>
          <w:p>
            <w:r>
              <w:t>9.07</w:t>
            </w:r>
          </w:p>
        </w:tc>
      </w:tr>
      <w:tr>
        <w:tc>
          <w:tcPr>
            <w:tcW w:type="dxa" w:w="1984"/>
          </w:tcPr>
          <w:p>
            <w:r>
              <w:t>International Shares</w:t>
            </w:r>
          </w:p>
        </w:tc>
        <w:tc>
          <w:tcPr>
            <w:tcW w:type="dxa" w:w="1559"/>
          </w:tcPr>
          <w:p>
            <w:r>
              <w:t>8.57</w:t>
            </w:r>
          </w:p>
        </w:tc>
        <w:tc>
          <w:tcPr>
            <w:tcW w:type="dxa" w:w="1559"/>
          </w:tcPr>
          <w:p>
            <w:r>
              <w:t>13.88</w:t>
            </w:r>
          </w:p>
        </w:tc>
      </w:tr>
      <w:tr>
        <w:tc>
          <w:tcPr>
            <w:tcW w:type="dxa" w:w="1984"/>
          </w:tcPr>
          <w:p>
            <w:r>
              <w:t>Real Assets</w:t>
            </w:r>
          </w:p>
        </w:tc>
        <w:tc>
          <w:tcPr>
            <w:tcW w:type="dxa" w:w="1559"/>
          </w:tcPr>
          <w:p>
            <w:r>
              <w:t>7.78</w:t>
            </w:r>
          </w:p>
        </w:tc>
        <w:tc>
          <w:tcPr>
            <w:tcW w:type="dxa" w:w="1559"/>
          </w:tcPr>
          <w:p>
            <w:r>
              <w:t>9.44</w:t>
            </w:r>
          </w:p>
        </w:tc>
      </w:tr>
      <w:tr>
        <w:tc>
          <w:tcPr>
            <w:tcW w:type="dxa" w:w="1984"/>
          </w:tcPr>
          <w:p>
            <w:r>
              <w:t>Alternatives</w:t>
            </w:r>
          </w:p>
        </w:tc>
        <w:tc>
          <w:tcPr>
            <w:tcW w:type="dxa" w:w="1559"/>
          </w:tcPr>
          <w:p>
            <w:r>
              <w:t>22.12</w:t>
            </w:r>
          </w:p>
        </w:tc>
        <w:tc>
          <w:tcPr>
            <w:tcW w:type="dxa" w:w="1559"/>
          </w:tcPr>
          <w:p>
            <w:r>
              <w:t>19.11</w:t>
            </w:r>
          </w:p>
        </w:tc>
      </w:tr>
      <w:tr>
        <w:tc>
          <w:tcPr>
            <w:tcW w:type="dxa" w:w="1984"/>
          </w:tcPr>
          <w:p>
            <w:r>
              <w:t>Long Duration</w:t>
            </w:r>
          </w:p>
        </w:tc>
        <w:tc>
          <w:tcPr>
            <w:tcW w:type="dxa" w:w="1559"/>
          </w:tcPr>
          <w:p>
            <w:r>
              <w:t>0.0</w:t>
            </w:r>
          </w:p>
        </w:tc>
        <w:tc>
          <w:tcPr>
            <w:tcW w:type="dxa" w:w="1559"/>
          </w:tcPr>
          <w:p>
            <w:r>
              <w:t>inf</w:t>
            </w:r>
          </w:p>
        </w:tc>
      </w:tr>
      <w:tr>
        <w:tc>
          <w:tcPr>
            <w:tcW w:type="dxa" w:w="1984"/>
          </w:tcPr>
          <w:p>
            <w:r>
              <w:t>Floating Rate</w:t>
            </w:r>
          </w:p>
        </w:tc>
        <w:tc>
          <w:tcPr>
            <w:tcW w:type="dxa" w:w="1559"/>
          </w:tcPr>
          <w:p>
            <w:r>
              <w:t>0.0</w:t>
            </w:r>
          </w:p>
        </w:tc>
        <w:tc>
          <w:tcPr>
            <w:tcW w:type="dxa" w:w="1559"/>
          </w:tcPr>
          <w:p>
            <w:r>
              <w:t>inf</w:t>
            </w:r>
          </w:p>
        </w:tc>
      </w:tr>
      <w:tr>
        <w:tc>
          <w:tcPr>
            <w:tcW w:type="dxa" w:w="1984"/>
          </w:tcPr>
          <w:p>
            <w:r>
              <w:t>Cash</w:t>
            </w:r>
          </w:p>
        </w:tc>
        <w:tc>
          <w:tcPr>
            <w:tcW w:type="dxa" w:w="1559"/>
          </w:tcPr>
          <w:p>
            <w:r>
              <w:t>3.87</w:t>
            </w:r>
          </w:p>
        </w:tc>
        <w:tc>
          <w:tcPr>
            <w:tcW w:type="dxa" w:w="1559"/>
          </w:tcPr>
          <w:p>
            <w:r>
              <w:t>4.22</w:t>
            </w:r>
          </w:p>
        </w:tc>
      </w:tr>
    </w:tbl>
    <w:p>
      <w:pPr>
        <w:pStyle w:val="Note"/>
      </w:pPr>
      <w:r>
        <w:t>Inception Date: 31 December 2022</w:t>
      </w:r>
    </w:p>
    <w:p>
      <w:pPr>
        <w:pStyle w:val="Heading30"/>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0"/>
                    <a:stretch>
                      <a:fillRect/>
                    </a:stretch>
                  </pic:blipFill>
                  <pic:spPr>
                    <a:xfrm>
                      <a:off x="0" y="0"/>
                      <a:ext cx="3240000" cy="2322000"/>
                    </a:xfrm>
                    <a:prstGeom prst="rect"/>
                  </pic:spPr>
                </pic:pic>
              </a:graphicData>
            </a:graphic>
          </wp:inline>
        </w:drawing>
      </w:r>
    </w:p>
    <w:p>
      <w:pPr>
        <w:pStyle w:val="Heading30"/>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1"/>
                    <a:stretch>
                      <a:fillRect/>
                    </a:stretch>
                  </pic:blipFill>
                  <pic:spPr>
                    <a:xfrm>
                      <a:off x="0" y="0"/>
                      <a:ext cx="3240000" cy="2700000"/>
                    </a:xfrm>
                    <a:prstGeom prst="rect"/>
                  </pic:spPr>
                </pic:pic>
              </a:graphicData>
            </a:graphic>
          </wp:inline>
        </w:drawing>
      </w:r>
    </w:p>
    <w:br w:type="column"/>
    <w:p>
      <w:pPr>
        <w:pStyle w:val="Heading30"/>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2"/>
                    <a:stretch>
                      <a:fillRect/>
                    </a:stretch>
                  </pic:blipFill>
                  <pic:spPr>
                    <a:xfrm>
                      <a:off x="0" y="0"/>
                      <a:ext cx="3240000" cy="2880000"/>
                    </a:xfrm>
                    <a:prstGeom prst="rect"/>
                  </pic:spPr>
                </pic:pic>
              </a:graphicData>
            </a:graphic>
          </wp:inline>
        </w:drawing>
      </w:r>
    </w:p>
    <w:p>
      <w:pPr>
        <w:pStyle w:val="Heading30"/>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3 Years (p.a.)</w:t>
            </w:r>
          </w:p>
        </w:tc>
      </w:tr>
      <w:tr>
        <w:tc>
          <w:tcPr>
            <w:tcW w:type="dxa" w:w="2268"/>
          </w:tcPr>
          <w:p>
            <w:r>
              <w:t>iShares ASX 200</w:t>
            </w:r>
          </w:p>
        </w:tc>
        <w:tc>
          <w:tcPr>
            <w:tcW w:type="dxa" w:w="1417"/>
          </w:tcPr>
          <w:p>
            <w:r>
              <w:t>11.66</w:t>
            </w:r>
          </w:p>
        </w:tc>
        <w:tc>
          <w:tcPr>
            <w:tcW w:type="dxa" w:w="1417"/>
          </w:tcPr>
          <w:p>
            <w:r>
              <w:t>9.45</w:t>
            </w:r>
          </w:p>
        </w:tc>
      </w:tr>
      <w:tr>
        <w:tc>
          <w:tcPr>
            <w:tcW w:type="dxa" w:w="2268"/>
          </w:tcPr>
          <w:p>
            <w:r>
              <w:rPr>
                <w:b/>
              </w:rPr>
              <w:t>BM: Australian Shares</w:t>
            </w:r>
          </w:p>
        </w:tc>
        <w:tc>
          <w:tcPr>
            <w:tcW w:type="dxa" w:w="1417"/>
          </w:tcPr>
          <w:p>
            <w:r>
              <w:rPr>
                <w:b/>
              </w:rPr>
              <w:t>11.66</w:t>
            </w:r>
          </w:p>
        </w:tc>
        <w:tc>
          <w:tcPr>
            <w:tcW w:type="dxa" w:w="1417"/>
          </w:tcPr>
          <w:p>
            <w:r>
              <w:rPr>
                <w:b/>
              </w:rPr>
              <w:t>9.45</w:t>
            </w:r>
          </w:p>
        </w:tc>
      </w:tr>
      <w:tr>
        <w:tc>
          <w:tcPr>
            <w:tcW w:type="dxa" w:w="2268"/>
          </w:tcPr>
          <w:p>
            <w:r>
              <w:t>iShares US 500</w:t>
            </w:r>
          </w:p>
        </w:tc>
        <w:tc>
          <w:tcPr>
            <w:tcW w:type="dxa" w:w="1417"/>
          </w:tcPr>
          <w:p>
            <w:r>
              <w:t>6.83</w:t>
            </w:r>
          </w:p>
        </w:tc>
        <w:tc>
          <w:tcPr>
            <w:tcW w:type="dxa" w:w="1417"/>
          </w:tcPr>
          <w:p>
            <w:r>
              <w:t>16.85</w:t>
            </w:r>
          </w:p>
        </w:tc>
      </w:tr>
      <w:tr>
        <w:tc>
          <w:tcPr>
            <w:tcW w:type="dxa" w:w="2268"/>
          </w:tcPr>
          <w:p>
            <w:r>
              <w:t>iShares US 500 Hedged</w:t>
            </w:r>
          </w:p>
        </w:tc>
        <w:tc>
          <w:tcPr>
            <w:tcW w:type="dxa" w:w="1417"/>
          </w:tcPr>
          <w:p>
            <w:r>
              <w:t>15.37</w:t>
            </w:r>
          </w:p>
        </w:tc>
        <w:tc>
          <w:tcPr>
            <w:tcW w:type="dxa" w:w="1417"/>
          </w:tcPr>
          <w:p>
            <w:r>
              <w:t>16.05</w:t>
            </w:r>
          </w:p>
        </w:tc>
      </w:tr>
      <w:tr>
        <w:tc>
          <w:tcPr>
            <w:tcW w:type="dxa" w:w="2268"/>
          </w:tcPr>
          <w:p>
            <w:r>
              <w:t>VG Europe Eq</w:t>
            </w:r>
          </w:p>
        </w:tc>
        <w:tc>
          <w:tcPr>
            <w:tcW w:type="dxa" w:w="1417"/>
          </w:tcPr>
          <w:p>
            <w:r>
              <w:t>6.74</w:t>
            </w:r>
          </w:p>
        </w:tc>
        <w:tc>
          <w:tcPr>
            <w:tcW w:type="dxa" w:w="1417"/>
          </w:tcPr>
          <w:p>
            <w:r>
              <w:t>11.8</w:t>
            </w:r>
          </w:p>
        </w:tc>
      </w:tr>
      <w:tr>
        <w:tc>
          <w:tcPr>
            <w:tcW w:type="dxa" w:w="2268"/>
          </w:tcPr>
          <w:p>
            <w:r>
              <w:t xml:space="preserve">iShares Japan </w:t>
            </w:r>
          </w:p>
        </w:tc>
        <w:tc>
          <w:tcPr>
            <w:tcW w:type="dxa" w:w="1417"/>
          </w:tcPr>
          <w:p>
            <w:r>
              <w:t>15.07</w:t>
            </w:r>
          </w:p>
        </w:tc>
        <w:tc>
          <w:tcPr>
            <w:tcW w:type="dxa" w:w="1417"/>
          </w:tcPr>
          <w:p>
            <w:r>
              <w:t>14.16</w:t>
            </w:r>
          </w:p>
        </w:tc>
      </w:tr>
      <w:tr>
        <w:tc>
          <w:tcPr>
            <w:tcW w:type="dxa" w:w="2268"/>
          </w:tcPr>
          <w:p>
            <w:r>
              <w:t>VG Asia ex Japan</w:t>
            </w:r>
          </w:p>
        </w:tc>
        <w:tc>
          <w:tcPr>
            <w:tcW w:type="dxa" w:w="1417"/>
          </w:tcPr>
          <w:p>
            <w:r>
              <w:t>17.55</w:t>
            </w:r>
          </w:p>
        </w:tc>
        <w:tc>
          <w:tcPr>
            <w:tcW w:type="dxa" w:w="1417"/>
          </w:tcPr>
          <w:p>
            <w:r>
              <w:t>12.87</w:t>
            </w:r>
          </w:p>
        </w:tc>
      </w:tr>
      <w:tr>
        <w:tc>
          <w:tcPr>
            <w:tcW w:type="dxa" w:w="2268"/>
          </w:tcPr>
          <w:p>
            <w:r>
              <w:t>VG All ex US Shares</w:t>
            </w:r>
          </w:p>
        </w:tc>
        <w:tc>
          <w:tcPr>
            <w:tcW w:type="dxa" w:w="1417"/>
          </w:tcPr>
          <w:p>
            <w:r>
              <w:t>13.31</w:t>
            </w:r>
          </w:p>
        </w:tc>
        <w:tc>
          <w:tcPr>
            <w:tcW w:type="dxa" w:w="1417"/>
          </w:tcPr>
          <w:p>
            <w:r>
              <w:t>13.29</w:t>
            </w:r>
          </w:p>
        </w:tc>
      </w:tr>
      <w:tr>
        <w:tc>
          <w:tcPr>
            <w:tcW w:type="dxa" w:w="2268"/>
          </w:tcPr>
          <w:p>
            <w:r>
              <w:rPr>
                <w:b/>
              </w:rPr>
              <w:t>BM: International Shares</w:t>
            </w:r>
          </w:p>
        </w:tc>
        <w:tc>
          <w:tcPr>
            <w:tcW w:type="dxa" w:w="1417"/>
          </w:tcPr>
          <w:p>
            <w:r>
              <w:rPr>
                <w:b/>
              </w:rPr>
              <w:t>7.61</w:t>
            </w:r>
          </w:p>
        </w:tc>
        <w:tc>
          <w:tcPr>
            <w:tcW w:type="dxa" w:w="1417"/>
          </w:tcPr>
          <w:p>
            <w:r>
              <w:rPr>
                <w:b/>
              </w:rPr>
              <w:t>14.91</w:t>
            </w:r>
          </w:p>
        </w:tc>
      </w:tr>
      <w:tr>
        <w:tc>
          <w:tcPr>
            <w:tcW w:type="dxa" w:w="2268"/>
          </w:tcPr>
          <w:p>
            <w:r>
              <w:t>iShares AREIT</w:t>
            </w:r>
          </w:p>
        </w:tc>
        <w:tc>
          <w:tcPr>
            <w:tcW w:type="dxa" w:w="1417"/>
          </w:tcPr>
          <w:p>
            <w:r>
              <w:t>-3.39</w:t>
            </w:r>
          </w:p>
        </w:tc>
        <w:tc>
          <w:tcPr>
            <w:tcW w:type="dxa" w:w="1417"/>
          </w:tcPr>
          <w:p>
            <w:r>
              <w:t>7.11</w:t>
            </w:r>
          </w:p>
        </w:tc>
      </w:tr>
      <w:tr>
        <w:tc>
          <w:tcPr>
            <w:tcW w:type="dxa" w:w="2268"/>
          </w:tcPr>
          <w:p>
            <w:r>
              <w:t>iShares GREIT</w:t>
            </w:r>
          </w:p>
        </w:tc>
        <w:tc>
          <w:tcPr>
            <w:tcW w:type="dxa" w:w="1417"/>
          </w:tcPr>
          <w:p>
            <w:r>
              <w:t>7.53</w:t>
            </w:r>
          </w:p>
        </w:tc>
        <w:tc>
          <w:tcPr>
            <w:tcW w:type="dxa" w:w="1417"/>
          </w:tcPr>
          <w:p>
            <w:r>
              <w:t>6.01</w:t>
            </w:r>
          </w:p>
        </w:tc>
      </w:tr>
      <w:tr>
        <w:tc>
          <w:tcPr>
            <w:tcW w:type="dxa" w:w="2268"/>
          </w:tcPr>
          <w:p>
            <w:r>
              <w:t>iShares Glob Infra H</w:t>
            </w:r>
          </w:p>
        </w:tc>
        <w:tc>
          <w:tcPr>
            <w:tcW w:type="dxa" w:w="1417"/>
          </w:tcPr>
          <w:p>
            <w:r>
              <w:t>16.64</w:t>
            </w:r>
          </w:p>
        </w:tc>
        <w:tc>
          <w:tcPr>
            <w:tcW w:type="dxa" w:w="1417"/>
          </w:tcPr>
          <w:p>
            <w:r>
              <w:t>10.92</w:t>
            </w:r>
          </w:p>
        </w:tc>
      </w:tr>
      <w:tr>
        <w:tc>
          <w:tcPr>
            <w:tcW w:type="dxa" w:w="2268"/>
          </w:tcPr>
          <w:p>
            <w:r>
              <w:rPr>
                <w:b/>
              </w:rPr>
              <w:t>BM: Real Assets</w:t>
            </w:r>
          </w:p>
        </w:tc>
        <w:tc>
          <w:tcPr>
            <w:tcW w:type="dxa" w:w="1417"/>
          </w:tcPr>
          <w:p>
            <w:r>
              <w:rPr>
                <w:b/>
              </w:rPr>
              <w:t>3.44</w:t>
            </w:r>
          </w:p>
        </w:tc>
        <w:tc>
          <w:tcPr>
            <w:tcW w:type="dxa" w:w="1417"/>
          </w:tcPr>
          <w:p>
            <w:r>
              <w:rPr>
                <w:b/>
              </w:rPr>
              <w:t>5.47</w:t>
            </w:r>
          </w:p>
        </w:tc>
      </w:tr>
      <w:tr>
        <w:tc>
          <w:tcPr>
            <w:tcW w:type="dxa" w:w="2268"/>
          </w:tcPr>
          <w:p>
            <w:r>
              <w:t>VE Global Listed P Private ETF</w:t>
            </w:r>
          </w:p>
        </w:tc>
        <w:tc>
          <w:tcPr>
            <w:tcW w:type="dxa" w:w="1417"/>
          </w:tcPr>
          <w:p>
            <w:r>
              <w:t>-22.11</w:t>
            </w:r>
          </w:p>
        </w:tc>
        <w:tc>
          <w:tcPr>
            <w:tcW w:type="dxa" w:w="1417"/>
          </w:tcPr>
          <w:p>
            <w:r>
              <w:t>9.98</w:t>
            </w:r>
          </w:p>
        </w:tc>
      </w:tr>
      <w:tr>
        <w:tc>
          <w:tcPr>
            <w:tcW w:type="dxa" w:w="2268"/>
          </w:tcPr>
          <w:p>
            <w:r>
              <w:t>iShares Physical Gold</w:t>
            </w:r>
          </w:p>
        </w:tc>
        <w:tc>
          <w:tcPr>
            <w:tcW w:type="dxa" w:w="1417"/>
          </w:tcPr>
          <w:p>
            <w:r>
              <w:t>34.27</w:t>
            </w:r>
          </w:p>
        </w:tc>
        <w:tc>
          <w:tcPr>
            <w:tcW w:type="dxa" w:w="1417"/>
          </w:tcPr>
          <w:p>
            <w:r>
              <w:t>28.39</w:t>
            </w:r>
          </w:p>
        </w:tc>
      </w:tr>
      <w:tr>
        <w:tc>
          <w:tcPr>
            <w:tcW w:type="dxa" w:w="2268"/>
          </w:tcPr>
          <w:p>
            <w:r>
              <w:t>BS Energy ETF</w:t>
            </w:r>
          </w:p>
        </w:tc>
        <w:tc>
          <w:tcPr>
            <w:tcW w:type="dxa" w:w="1417"/>
          </w:tcPr>
          <w:p>
            <w:r>
              <w:t>40.6</w:t>
            </w:r>
          </w:p>
        </w:tc>
        <w:tc>
          <w:tcPr>
            <w:tcW w:type="dxa" w:w="1417"/>
          </w:tcPr>
          <w:p>
            <w:r>
              <w:t>17.24</w:t>
            </w:r>
          </w:p>
        </w:tc>
      </w:tr>
      <w:tr>
        <w:tc>
          <w:tcPr>
            <w:tcW w:type="dxa" w:w="2268"/>
          </w:tcPr>
          <w:p>
            <w:r>
              <w:rPr>
                <w:b/>
              </w:rPr>
              <w:t>BM: Alternatives</w:t>
            </w:r>
          </w:p>
        </w:tc>
        <w:tc>
          <w:tcPr>
            <w:tcW w:type="dxa" w:w="1417"/>
          </w:tcPr>
          <w:p>
            <w:r>
              <w:rPr>
                <w:b/>
              </w:rPr>
              <w:t>3.86</w:t>
            </w:r>
          </w:p>
        </w:tc>
        <w:tc>
          <w:tcPr>
            <w:tcW w:type="dxa" w:w="1417"/>
          </w:tcPr>
          <w:p>
            <w:r>
              <w:rPr>
                <w:b/>
              </w:rPr>
              <w:t>4.24</w:t>
            </w:r>
          </w:p>
        </w:tc>
      </w:tr>
      <w:tr>
        <w:tc>
          <w:tcPr>
            <w:tcW w:type="dxa" w:w="2268"/>
          </w:tcPr>
          <w:p>
            <w:r>
              <w:t>iShares Cash</w:t>
            </w:r>
          </w:p>
        </w:tc>
        <w:tc>
          <w:tcPr>
            <w:tcW w:type="dxa" w:w="1417"/>
          </w:tcPr>
          <w:p>
            <w:r>
              <w:t>3.87</w:t>
            </w:r>
          </w:p>
        </w:tc>
        <w:tc>
          <w:tcPr>
            <w:tcW w:type="dxa" w:w="1417"/>
          </w:tcPr>
          <w:p>
            <w:r>
              <w:t>4.23</w:t>
            </w:r>
          </w:p>
        </w:tc>
      </w:tr>
      <w:tr>
        <w:tc>
          <w:tcPr>
            <w:tcW w:type="dxa" w:w="2268"/>
          </w:tcPr>
          <w:p>
            <w:r>
              <w:t>Cash</w:t>
            </w:r>
          </w:p>
        </w:tc>
        <w:tc>
          <w:tcPr>
            <w:tcW w:type="dxa" w:w="1417"/>
          </w:tcPr>
          <w:p>
            <w:r>
              <w:t>3.86</w:t>
            </w:r>
          </w:p>
        </w:tc>
        <w:tc>
          <w:tcPr>
            <w:tcW w:type="dxa" w:w="1417"/>
          </w:tcPr>
          <w:p>
            <w:r>
              <w:t>4.24</w:t>
            </w:r>
          </w:p>
        </w:tc>
      </w:tr>
    </w:tbl>
    <w:p>
      <w:pPr>
        <w:pStyle w:val="Note"/>
      </w:pPr>
      <w:r>
        <w:t>Inception Date: 31 December 2022</w:t>
      </w:r>
    </w:p>
    <w:p>
      <w:pPr>
        <w:pStyle w:val="BodyStyle"/>
      </w:pPr>
      <w:r>
        <w:t>Underlying investment manager returns are shown after fees and before tax</w:t>
      </w:r>
    </w:p>
    <w:br w:type="column"/>
    <w:p>
      <w:pPr>
        <w:pStyle w:val="Heading20"/>
      </w:pPr>
      <w:r>
        <w:t>Market Update</w:t>
      </w:r>
    </w:p>
    <w:p>
      <w:pPr>
        <w:pStyle w:val="BodyStyle"/>
      </w:pPr>
      <w:r>
        <w:t>The ASX200 lifted 4% for the month of February. Sector dynamics drove the divergence, with Financials and Materials within the S&amp;P/ASX 200 each climbing close to 9%. In contrast, Health Care fell sharply and Information Technology remained under pressure, now significantly below its July 2025 peak amid concerns around AI disruption.</w:t>
        <w:br/>
        <w:br/>
        <w:t>The ASX 20 advanced about 8%, while smaller companies lagged and both the ASX Small Ordinaries and NZX SmallCap indices declined.</w:t>
        <w:br/>
        <w:br/>
        <w:t>South Korea led regional markets once again, with the Korea BMI advancing roughly 20% for the month and around 52% year-to-date.</w:t>
        <w:br/>
        <w:br/>
        <w:t>U.S. equities faced headwinds in February, as heightened scrutiny around AI-related capital spending and its implications for corporate profitability weighed on large-cap technology companies. The S&amp;P 500 recorded its third weekly decline.</w:t>
        <w:br/>
        <w:br/>
        <w:t>Sector performance among large caps was uneven, reflecting a pullback in enthusiasm for major technology companies and a move toward more defensive positioning. Utilities delivered the strongest gains, while Communication Services and Consumer Discretionary sectors declined.</w:t>
        <w:br/>
        <w:br/>
        <w:t>Factor strategies largely produced positive results, with quality, dividend and low-volatility approaches outperforming. Value-oriented strategies also exceeded growth-focused approaches during the month.</w:t>
        <w:br/>
        <w:br/>
        <w:t>In Europe, most sectors delivered positive returns, with Communication Services and Real Estate producing particularly strong gains, while Financials was the only sector to decline during the month.</w:t>
        <w:br/>
        <w:br/>
        <w:t xml:space="preserve">Australian 10-year government bond yields eased to 4.29%, while expectations for domestic monetary easing expected later in 2026. </w:t>
        <w:br/>
        <w:br/>
        <w:t>U.S. 10-year Treasury yields declined to 4.21%, with interest rate markets increasingly assigning a greater probability to a third Federal Reserve rate reduction later in the year.</w:t>
        <w:br/>
        <w:br/>
        <w:t xml:space="preserve">Recent escalation in the Middle East has increased geopolitical uncertainty and reintroduced energy supply risk into market pricing. Investors are assessing whether higher oil prices could reignite inflation, slow growth, or both. </w:t>
        <w:br/>
        <w:br/>
        <w:t xml:space="preserve">We maintain, meaningful exposure to global infrastructure, structural allocation to energy stocks, dedicated gold allocation, high-quality fixed income, active currency hedging.  </w:t>
        <w:br/>
        <w:br/>
      </w:r>
    </w:p>
    <w:p>
      <w:pPr>
        <w:pStyle w:val="Heading20"/>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1C33C8" w:rsidSect="002133B0">
      <w:type w:val="continuous"/>
      <w:pgSz w:w="11900" w:h="16840" w:code="9"/>
      <w:pgMar w:top="0" w:right="420" w:bottom="0" w:left="425" w:header="0" w:footer="451" w:gutter="0"/>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1E980" w14:textId="77777777" w:rsidR="00EC1404" w:rsidRDefault="00EC1404" w:rsidP="007B4373">
      <w:r>
        <w:separator/>
      </w:r>
    </w:p>
  </w:endnote>
  <w:endnote w:type="continuationSeparator" w:id="0">
    <w:p w14:paraId="7A7F6BBD" w14:textId="77777777" w:rsidR="00EC1404" w:rsidRDefault="00EC1404"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25F327CF" w:rsidR="0057386D" w:rsidRDefault="002133B0" w:rsidP="002F4B28">
    <w:pPr>
      <w:pStyle w:val="Footer"/>
      <w:tabs>
        <w:tab w:val="clear" w:pos="4513"/>
        <w:tab w:val="clear" w:pos="9026"/>
      </w:tabs>
    </w:pPr>
    <w:r>
      <w:rPr>
        <w:noProof/>
      </w:rPr>
      <mc:AlternateContent>
        <mc:Choice Requires="wps">
          <w:drawing>
            <wp:anchor distT="0" distB="0" distL="114300" distR="114300" simplePos="0" relativeHeight="251658241" behindDoc="0" locked="0" layoutInCell="1" allowOverlap="1" wp14:anchorId="2E8614D7" wp14:editId="15467433">
              <wp:simplePos x="0" y="0"/>
              <wp:positionH relativeFrom="column">
                <wp:posOffset>6587490</wp:posOffset>
              </wp:positionH>
              <wp:positionV relativeFrom="page">
                <wp:posOffset>10267950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808.5pt;width:15pt;height:19.55pt;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hsomrd8AAAAPAQAADwAAAGRycy9kb3ducmV2LnhtbExPy07DMBC8&#10;I/EP1iJxo3Z4pFWIUyEQQpxQW1Tg5sTbJCJeR7Gbhr9nc4LbzuxoHvl6cp0YcQitJw3JQoFAqrxt&#10;qdbwvnu+WoEI0ZA1nSfU8IMB1sX5WW4y60+0wXEba8EmFDKjoYmxz6QMVYPOhIXvkfh38IMzkeFQ&#10;SzuYE5u7Tl4rlUpnWuKExvT42GD1vT06zlVfcv/0ui9Xo/90ze5lPNiPN60vL6aHexARp/gnhrk+&#10;V4eCO5X+SDaIjrG6Wd6ylq80WfKsWaPSmStn7i5NQBa5/L+j+AUAAP//AwBQSwECLQAUAAYACAAA&#10;ACEAtoM4kv4AAADhAQAAEwAAAAAAAAAAAAAAAAAAAAAAW0NvbnRlbnRfVHlwZXNdLnhtbFBLAQIt&#10;ABQABgAIAAAAIQA4/SH/1gAAAJQBAAALAAAAAAAAAAAAAAAAAC8BAABfcmVscy8ucmVsc1BLAQIt&#10;ABQABgAIAAAAIQDTVWEGHgIAAD4EAAAOAAAAAAAAAAAAAAAAAC4CAABkcnMvZTJvRG9jLnhtbFBL&#10;AQItABQABgAIAAAAIQCGyiat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sidR="00DF12F7">
      <w:rPr>
        <w:noProof/>
      </w:rPr>
      <mc:AlternateContent>
        <mc:Choice Requires="wps">
          <w:drawing>
            <wp:anchor distT="4294967286" distB="4294967286" distL="114300" distR="114300" simplePos="0" relativeHeight="251658240" behindDoc="0" locked="0" layoutInCell="1" allowOverlap="1" wp14:anchorId="51235B58" wp14:editId="7C4AFA86">
              <wp:simplePos x="0" y="0"/>
              <wp:positionH relativeFrom="margin">
                <wp:posOffset>0</wp:posOffset>
              </wp:positionH>
              <wp:positionV relativeFrom="page">
                <wp:posOffset>10257790</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45FE9D8" id="Straight Connector 9" o:spid="_x0000_s1026" style="position:absolute;flip:y;z-index:251658240;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807.7pt" to="546pt,80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F2kvgN0AAAALAQAADwAAAGRycy9k&#10;b3ducmV2LnhtbEyPQU8CMRCF7yT+h2ZMvEEXgoDrdonZhBgjF8HotWzH3Y3tdNMWWP69w8Hocb73&#10;8ua9Yj04K04YYudJwXSSgUCqvemoUfC+34xXIGLSZLT1hAouGGFd3owKnRt/pjc87VIjOIRirhW0&#10;KfW5lLFu0ek48T0Sa18+OJ34DI00QZ853Fk5y7KFdLoj/tDqHqsW6+/d0SlYve6X25jCy4d93lab&#10;ML98ymWl1N3t8PQIIuGQ/sxwrc/VoeROB38kE4VVwEMS08X0fg7iqmcPM2aHXybLQv7fUP4AAAD/&#10;/wMAUEsBAi0AFAAGAAgAAAAhALaDOJL+AAAA4QEAABMAAAAAAAAAAAAAAAAAAAAAAFtDb250ZW50&#10;X1R5cGVzXS54bWxQSwECLQAUAAYACAAAACEAOP0h/9YAAACUAQAACwAAAAAAAAAAAAAAAAAvAQAA&#10;X3JlbHMvLnJlbHNQSwECLQAUAAYACAAAACEAmKZXU74BAABrAwAADgAAAAAAAAAAAAAAAAAuAgAA&#10;ZHJzL2Uyb0RvYy54bWxQSwECLQAUAAYACAAAACEAF2kvgN0AAAALAQAADwAAAAAAAAAAAAAAAAAY&#10;BAAAZHJzL2Rvd25yZXYueG1sUEsFBgAAAAAEAAQA8wAAACIFAAAAAA==&#10;" strokecolor="#3d545e" strokeweight=".5pt">
              <v:stroke joinstyle="miter"/>
              <o:lock v:ext="edit" shapetype="f"/>
              <w10:wrap anchorx="margin"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2B309A7B" w:rsidR="005F6BD8" w:rsidRDefault="002976D3" w:rsidP="00E916A2">
    <w:pPr>
      <w:pStyle w:val="Footer"/>
      <w:tabs>
        <w:tab w:val="clear" w:pos="9026"/>
      </w:tabs>
    </w:pPr>
    <w:r>
      <w:rPr>
        <w:noProof/>
      </w:rPr>
      <mc:AlternateContent>
        <mc:Choice Requires="wps">
          <w:drawing>
            <wp:anchor distT="4294967286" distB="4294967286" distL="114300" distR="114300" simplePos="0" relativeHeight="251658242" behindDoc="0" locked="0" layoutInCell="1" allowOverlap="1" wp14:anchorId="4DF33864" wp14:editId="627120AF">
              <wp:simplePos x="0" y="0"/>
              <wp:positionH relativeFrom="margin">
                <wp:posOffset>0</wp:posOffset>
              </wp:positionH>
              <wp:positionV relativeFrom="page">
                <wp:posOffset>10095865</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234CCC"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4.95pt" to="535.5pt,7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DF8zDc3QAAAAsBAAAPAAAAZHJzL2Rvd25y&#10;ZXYueG1sTI/BTsMwEETvSPyDtUhcEHWMoDQhTkUryr2lvbuxiSPsdRS7aejXszmV474Zzc6Uy9E7&#10;Npg+tgEliFkGzGAddIuNhP3X5nEBLCaFWrmARsKvibCsbm9KVehwxq0ZdqlhFIKxUBJsSl3Beayt&#10;8SrOQmeQtO/Qe5Xo7Buue3WmcO/4U5bNuVct0gerOrO2pv7ZnbyEy8d8a+1m9Xl4WOluLy5uPYiD&#10;lPd34/sbsGTGdDXDVJ+qQ0WdjuGEOjIngYYkoi+LPAc26dmrIHacWC6egVcl/7+h+gMAAP//AwBQ&#10;SwECLQAUAAYACAAAACEAtoM4kv4AAADhAQAAEwAAAAAAAAAAAAAAAAAAAAAAW0NvbnRlbnRfVHlw&#10;ZXNdLnhtbFBLAQItABQABgAIAAAAIQA4/SH/1gAAAJQBAAALAAAAAAAAAAAAAAAAAC8BAABfcmVs&#10;cy8ucmVsc1BLAQItABQABgAIAAAAIQCwQMegugEAAGQDAAAOAAAAAAAAAAAAAAAAAC4CAABkcnMv&#10;ZTJvRG9jLnhtbFBLAQItABQABgAIAAAAIQDF8zDc3QAAAAsBAAAPAAAAAAAAAAAAAAAAABQEAABk&#10;cnMvZG93bnJldi54bWxQSwUGAAAAAAQABADzAAAAHgU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658243" behindDoc="0" locked="0" layoutInCell="1" allowOverlap="1" wp14:anchorId="49980B01" wp14:editId="02A3271F">
              <wp:simplePos x="0" y="0"/>
              <wp:positionH relativeFrom="column">
                <wp:posOffset>5968365</wp:posOffset>
              </wp:positionH>
              <wp:positionV relativeFrom="page">
                <wp:posOffset>10187305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802.15pt;width:62.1pt;height:19.55pt;flip:x;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AAp7DC4QAAAA4BAAAPAAAAZHJzL2Rvd25yZXYueG1sTI9N&#10;T4QwEIbvJv6HZky8ue0KIQtSNkZjjCfjrln1VugsJdIpoV0W/73lpMeZ98n7UW5n27MJR985krBe&#10;CWBIjdMdtRLe9083G2A+KNKqd4QSftDDtrq8KFWh3ZnecNqFlkUT8oWSYEIYCs59Y9Aqv3IDUtSO&#10;brQqxHNsuR7VOZrbnt8KkXGrOooJRg34YLD53p1szBVf/PD4cqg3k/u0Zv88HfXHq5TXV/P9HbCA&#10;c/iDYakfq0MVO9XuRNqzXkKe5HlEo5CJNAG2ICJL18Dq5ZcmKfCq5P9nVL8AAAD//wMAUEsBAi0A&#10;FAAGAAgAAAAhALaDOJL+AAAA4QEAABMAAAAAAAAAAAAAAAAAAAAAAFtDb250ZW50X1R5cGVzXS54&#10;bWxQSwECLQAUAAYACAAAACEAOP0h/9YAAACUAQAACwAAAAAAAAAAAAAAAAAvAQAAX3JlbHMvLnJl&#10;bHNQSwECLQAUAAYACAAAACEAcsEzJCMCAABFBAAADgAAAAAAAAAAAAAAAAAuAgAAZHJzL2Uyb0Rv&#10;Yy54bWxQSwECLQAUAAYACAAAACEAAKewwuEAAAAOAQAADwAAAAAAAAAAAAAAAAB9BAAAZHJzL2Rv&#10;d25yZXYueG1sUEsFBgAAAAAEAAQA8wAAAIsFA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B1CE2" w14:textId="77777777" w:rsidR="00EC1404" w:rsidRDefault="00EC1404" w:rsidP="007B4373">
      <w:r>
        <w:separator/>
      </w:r>
    </w:p>
  </w:footnote>
  <w:footnote w:type="continuationSeparator" w:id="0">
    <w:p w14:paraId="0EF1D93D" w14:textId="77777777" w:rsidR="00EC1404" w:rsidRDefault="00EC1404"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03A" w14:textId="77777777" w:rsidR="005B64E3" w:rsidRDefault="005B64E3">
    <w:pPr>
      <w:rPr>
        <w:sz w:val="36"/>
        <w:szCs w:val="32"/>
      </w:rPr>
    </w:pPr>
  </w:p>
  <w:p w14:paraId="1A2E350C" w14:textId="724ED1AC" w:rsidR="001C33C8" w:rsidRDefault="00844973">
    <w:r w:rsidRPr="005A6718">
      <w:rPr>
        <w:b/>
        <w:bCs/>
        <w:noProof/>
      </w:rPr>
      <w:drawing>
        <wp:anchor distT="0" distB="288290" distL="0" distR="0" simplePos="0" relativeHeight="251658245" behindDoc="1" locked="0" layoutInCell="1" allowOverlap="1" wp14:anchorId="46544061" wp14:editId="2A81C8E8">
          <wp:simplePos x="0" y="0"/>
          <wp:positionH relativeFrom="page">
            <wp:posOffset>0</wp:posOffset>
          </wp:positionH>
          <wp:positionV relativeFrom="page">
            <wp:posOffset>-76200</wp:posOffset>
          </wp:positionV>
          <wp:extent cx="7559675" cy="1702435"/>
          <wp:effectExtent l="0" t="0" r="3175" b="0"/>
          <wp:wrapNone/>
          <wp:docPr id="62228676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B94FC" w14:textId="77777777" w:rsidR="001C33C8" w:rsidRDefault="001C33C8"/>
  <w:p w14:paraId="4DCA8871" w14:textId="77777777" w:rsidR="001C33C8" w:rsidRDefault="001C33C8"/>
  <w:p w14:paraId="7664C6BC" w14:textId="77777777" w:rsidR="001C33C8" w:rsidRDefault="001C33C8"/>
  <w:p w14:paraId="28C28B14" w14:textId="77777777" w:rsidR="001C33C8" w:rsidRDefault="001C33C8"/>
  <w:p w14:paraId="1F390310" w14:textId="77777777" w:rsidR="001C33C8" w:rsidRDefault="001C33C8"/>
  <w:p w14:paraId="06CE26D7" w14:textId="77777777" w:rsidR="001C33C8" w:rsidRDefault="001C33C8"/>
  <w:p w14:paraId="0ACFE8D4" w14:textId="77777777" w:rsidR="001C33C8" w:rsidRPr="00C70EBB" w:rsidRDefault="001C33C8">
    <w:pPr>
      <w:rPr>
        <w:sz w:val="28"/>
        <w:szCs w:val="28"/>
      </w:rPr>
    </w:pPr>
  </w:p>
  <w:p w14:paraId="2DC183F1" w14:textId="77777777" w:rsidR="001C33C8" w:rsidRDefault="001C33C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658244"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150677889"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3148"/>
    <w:rsid w:val="000459E1"/>
    <w:rsid w:val="000532D3"/>
    <w:rsid w:val="00056847"/>
    <w:rsid w:val="000678CC"/>
    <w:rsid w:val="000757DE"/>
    <w:rsid w:val="00080973"/>
    <w:rsid w:val="00087F53"/>
    <w:rsid w:val="00090422"/>
    <w:rsid w:val="000955EA"/>
    <w:rsid w:val="000A228B"/>
    <w:rsid w:val="000A304C"/>
    <w:rsid w:val="000A62F1"/>
    <w:rsid w:val="000A6B34"/>
    <w:rsid w:val="000B1D78"/>
    <w:rsid w:val="000B3BF3"/>
    <w:rsid w:val="000C01EB"/>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C33C8"/>
    <w:rsid w:val="001D529D"/>
    <w:rsid w:val="001D6606"/>
    <w:rsid w:val="001E6B7E"/>
    <w:rsid w:val="001F3D92"/>
    <w:rsid w:val="001F5791"/>
    <w:rsid w:val="002001E8"/>
    <w:rsid w:val="00205192"/>
    <w:rsid w:val="0020556B"/>
    <w:rsid w:val="00205695"/>
    <w:rsid w:val="0021075E"/>
    <w:rsid w:val="002133B0"/>
    <w:rsid w:val="00217EC2"/>
    <w:rsid w:val="00221A34"/>
    <w:rsid w:val="002239A0"/>
    <w:rsid w:val="00230F55"/>
    <w:rsid w:val="002363CC"/>
    <w:rsid w:val="0024534D"/>
    <w:rsid w:val="00253974"/>
    <w:rsid w:val="0025644B"/>
    <w:rsid w:val="00257642"/>
    <w:rsid w:val="0025781D"/>
    <w:rsid w:val="002623DE"/>
    <w:rsid w:val="0026385F"/>
    <w:rsid w:val="002654BE"/>
    <w:rsid w:val="002669A4"/>
    <w:rsid w:val="00273AFA"/>
    <w:rsid w:val="00296F75"/>
    <w:rsid w:val="002976D3"/>
    <w:rsid w:val="00297D02"/>
    <w:rsid w:val="002A4CDE"/>
    <w:rsid w:val="002B121D"/>
    <w:rsid w:val="002C227E"/>
    <w:rsid w:val="002C3024"/>
    <w:rsid w:val="002D7D38"/>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4951"/>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06F"/>
    <w:rsid w:val="0051469E"/>
    <w:rsid w:val="00517E90"/>
    <w:rsid w:val="00521981"/>
    <w:rsid w:val="005250C4"/>
    <w:rsid w:val="00544C13"/>
    <w:rsid w:val="005460DA"/>
    <w:rsid w:val="0056683C"/>
    <w:rsid w:val="00567CEE"/>
    <w:rsid w:val="0057386D"/>
    <w:rsid w:val="0058272A"/>
    <w:rsid w:val="00582FF9"/>
    <w:rsid w:val="0059421B"/>
    <w:rsid w:val="00595E5D"/>
    <w:rsid w:val="005961BD"/>
    <w:rsid w:val="005968B1"/>
    <w:rsid w:val="005A0EF5"/>
    <w:rsid w:val="005A237C"/>
    <w:rsid w:val="005A26E3"/>
    <w:rsid w:val="005A45D0"/>
    <w:rsid w:val="005B0B31"/>
    <w:rsid w:val="005B64E3"/>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3A9C"/>
    <w:rsid w:val="00736F70"/>
    <w:rsid w:val="00744F32"/>
    <w:rsid w:val="007516EF"/>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0868"/>
    <w:rsid w:val="00804D15"/>
    <w:rsid w:val="008246D8"/>
    <w:rsid w:val="00824E97"/>
    <w:rsid w:val="00825259"/>
    <w:rsid w:val="00834DA8"/>
    <w:rsid w:val="00837192"/>
    <w:rsid w:val="00844973"/>
    <w:rsid w:val="0084698F"/>
    <w:rsid w:val="00846DA6"/>
    <w:rsid w:val="00846E9E"/>
    <w:rsid w:val="008505BC"/>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3DAD"/>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8410E"/>
    <w:rsid w:val="00B936D9"/>
    <w:rsid w:val="00BA5A06"/>
    <w:rsid w:val="00BB2107"/>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70EBB"/>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447B"/>
    <w:rsid w:val="00D86C13"/>
    <w:rsid w:val="00D95C05"/>
    <w:rsid w:val="00DA335B"/>
    <w:rsid w:val="00DA62BD"/>
    <w:rsid w:val="00DB3D87"/>
    <w:rsid w:val="00DC7252"/>
    <w:rsid w:val="00DD0C88"/>
    <w:rsid w:val="00DD3C69"/>
    <w:rsid w:val="00DD4AF2"/>
    <w:rsid w:val="00DD5F51"/>
    <w:rsid w:val="00DD739B"/>
    <w:rsid w:val="00DE2A58"/>
    <w:rsid w:val="00DF12F7"/>
    <w:rsid w:val="00DF422E"/>
    <w:rsid w:val="00E10391"/>
    <w:rsid w:val="00E20344"/>
    <w:rsid w:val="00E22922"/>
    <w:rsid w:val="00E2313F"/>
    <w:rsid w:val="00E23AB5"/>
    <w:rsid w:val="00E34E9E"/>
    <w:rsid w:val="00E5036A"/>
    <w:rsid w:val="00E543AD"/>
    <w:rsid w:val="00E54C89"/>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C1404"/>
    <w:rsid w:val="00EC148D"/>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0682"/>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0">
    <w:name w:val="Heading1"/>
    <w:basedOn w:val="Heading1"/>
    <w:qFormat/>
    <w:rsid w:val="008F3DAD"/>
    <w:pPr>
      <w:numPr>
        <w:numId w:val="0"/>
      </w:numPr>
      <w:spacing w:before="240" w:after="120"/>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Heading30">
    <w:name w:val="Heading3"/>
    <w:basedOn w:val="Normal"/>
    <w:link w:val="Heading3Char0"/>
    <w:qFormat/>
    <w:rsid w:val="00800868"/>
    <w:pPr>
      <w:spacing w:before="240"/>
    </w:pPr>
    <w:rPr>
      <w:b/>
      <w:i/>
      <w:color w:val="75C104" w:themeColor="accent6"/>
      <w:sz w:val="18"/>
    </w:rPr>
  </w:style>
  <w:style w:type="character" w:customStyle="1" w:styleId="Heading3Char0">
    <w:name w:val="Heading3 Char"/>
    <w:basedOn w:val="DefaultParagraphFont"/>
    <w:link w:val="Heading30"/>
    <w:rsid w:val="00800868"/>
    <w:rPr>
      <w:rFonts w:cs="Times New Roman (Body CS)"/>
      <w:b/>
      <w:i/>
      <w:color w:val="75C104" w:themeColor="accent6"/>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C148D"/>
    <w:rPr>
      <w:i/>
      <w:color w:val="1C5F69"/>
      <w:sz w:val="16"/>
    </w:rPr>
  </w:style>
  <w:style w:type="character" w:customStyle="1" w:styleId="NoteChar">
    <w:name w:val="Note Char"/>
    <w:basedOn w:val="DefaultParagraphFont"/>
    <w:link w:val="Note"/>
    <w:rsid w:val="00EC148D"/>
    <w:rPr>
      <w:rFonts w:cs="Times New Roman (Body CS)"/>
      <w:i/>
      <w:color w:val="1C5F69"/>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0">
    <w:name w:val="Heading2"/>
    <w:basedOn w:val="Heading2-nonumbers"/>
    <w:qFormat/>
    <w:rsid w:val="008F3DAD"/>
    <w:pPr>
      <w:spacing w:before="240"/>
    </w:pPr>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0faa3b765bc3ad41758b2d0c38fa1b25">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223fee81cbe4f33532603c1ca066db9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F74AAC2C-4C0B-484D-9606-F97DB1B5778D}"/>
</file>

<file path=docProps/app.xml><?xml version="1.0" encoding="utf-8"?>
<Properties xmlns="http://schemas.openxmlformats.org/officeDocument/2006/extended-properties" xmlns:vt="http://schemas.openxmlformats.org/officeDocument/2006/docPropsVTypes">
  <Template>Normal</Template>
  <TotalTime>737</TotalTime>
  <Pages>2</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173</cp:revision>
  <cp:lastPrinted>2022-04-29T02:04:00Z</cp:lastPrinted>
  <dcterms:created xsi:type="dcterms:W3CDTF">2022-07-06T04:09:00Z</dcterms:created>
  <dcterms:modified xsi:type="dcterms:W3CDTF">2026-01-05T23:23:00Z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y fmtid="{D5CDD505-2E9C-101B-9397-08002B2CF9AE}" pid="5" name="docLang">
    <vt:lpwstr>en</vt:lpwstr>
  </property>
</Properties>
</file>