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Green"/>
        <w:tabs>
          <w:tab w:pos="10772" w:val="right"/>
        </w:tabs>
      </w:pPr>
      <w:r>
        <w:t>Atchison Active 55 SMA</w:t>
      </w:r>
      <w:r>
        <w:tab/>
      </w:r>
      <w:r>
        <w:t>31 January 2025</w:t>
      </w:r>
    </w:p>
    <w:p>
      <w:pPr>
        <w:pStyle w:val="BodyStyle"/>
      </w:pP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Atchison55ACTIVE</w:t>
            </w:r>
          </w:p>
        </w:tc>
        <w:tc>
          <w:tcPr>
            <w:tcW w:type="dxa" w:w="1644"/>
          </w:tcPr>
          <w:p>
            <w:r>
              <w:rPr>
                <w:b/>
              </w:rPr>
              <w:t>3.51</w:t>
            </w:r>
          </w:p>
        </w:tc>
        <w:tc>
          <w:tcPr>
            <w:tcW w:type="dxa" w:w="1644"/>
          </w:tcPr>
          <w:p>
            <w:r>
              <w:rPr>
                <w:b/>
              </w:rPr>
              <w:t>5.06</w:t>
            </w:r>
          </w:p>
        </w:tc>
        <w:tc>
          <w:tcPr>
            <w:tcW w:type="dxa" w:w="1644"/>
          </w:tcPr>
          <w:p>
            <w:r>
              <w:rPr>
                <w:b/>
              </w:rPr>
              <w:t>11.85</w:t>
            </w:r>
          </w:p>
        </w:tc>
        <w:tc>
          <w:tcPr>
            <w:tcW w:type="dxa" w:w="1644"/>
          </w:tcPr>
          <w:p>
            <w:r>
              <w:rPr>
                <w:b/>
              </w:rPr>
              <w:t>10.71</w:t>
            </w:r>
          </w:p>
        </w:tc>
        <w:tc>
          <w:tcPr>
            <w:tcW w:type="dxa" w:w="1644"/>
          </w:tcPr>
          <w:p>
            <w:r>
              <w:rPr>
                <w:b/>
              </w:rPr>
              <w:t>11.73</w:t>
            </w:r>
          </w:p>
        </w:tc>
      </w:tr>
      <w:tr>
        <w:tc>
          <w:tcPr>
            <w:tcW w:type="dxa" w:w="2551"/>
          </w:tcPr>
          <w:p>
            <w:r>
              <w:t>Peer Group</w:t>
            </w:r>
          </w:p>
        </w:tc>
        <w:tc>
          <w:tcPr>
            <w:tcW w:type="dxa" w:w="1644"/>
          </w:tcPr>
          <w:p>
            <w:r>
              <w:t>3.26</w:t>
            </w:r>
          </w:p>
        </w:tc>
        <w:tc>
          <w:tcPr>
            <w:tcW w:type="dxa" w:w="1644"/>
          </w:tcPr>
          <w:p>
            <w:r>
              <w:t>4.6</w:t>
            </w:r>
          </w:p>
        </w:tc>
        <w:tc>
          <w:tcPr>
            <w:tcW w:type="dxa" w:w="1644"/>
          </w:tcPr>
          <w:p>
            <w:r>
              <w:t>10.2</w:t>
            </w:r>
          </w:p>
        </w:tc>
        <w:tc>
          <w:tcPr>
            <w:tcW w:type="dxa" w:w="1644"/>
          </w:tcPr>
          <w:p>
            <w:r>
              <w:t>8.29</w:t>
            </w:r>
          </w:p>
        </w:tc>
        <w:tc>
          <w:tcPr>
            <w:tcW w:type="dxa" w:w="1644"/>
          </w:tcPr>
          <w:p>
            <w:r>
              <w:t>9.56</w:t>
            </w:r>
          </w:p>
        </w:tc>
      </w:tr>
      <w:tr>
        <w:tc>
          <w:tcPr>
            <w:tcW w:type="dxa" w:w="2551"/>
          </w:tcPr>
          <w:p>
            <w:r>
              <w:t>Inflation</w:t>
            </w:r>
          </w:p>
        </w:tc>
        <w:tc>
          <w:tcPr>
            <w:tcW w:type="dxa" w:w="1644"/>
          </w:tcPr>
          <w:p>
            <w:r>
              <w:t>0.0</w:t>
            </w:r>
          </w:p>
        </w:tc>
        <w:tc>
          <w:tcPr>
            <w:tcW w:type="dxa" w:w="1644"/>
          </w:tcPr>
          <w:p>
            <w:r>
              <w:t>0.55</w:t>
            </w:r>
          </w:p>
        </w:tc>
        <w:tc>
          <w:tcPr>
            <w:tcW w:type="dxa" w:w="1644"/>
          </w:tcPr>
          <w:p>
            <w:r>
              <w:t>2.78</w:t>
            </w:r>
          </w:p>
        </w:tc>
        <w:tc>
          <w:tcPr>
            <w:tcW w:type="dxa" w:w="1644"/>
          </w:tcPr>
          <w:p>
            <w:r>
              <w:t>3.43</w:t>
            </w:r>
          </w:p>
        </w:tc>
        <w:tc>
          <w:tcPr>
            <w:tcW w:type="dxa" w:w="1644"/>
          </w:tcPr>
          <w:p>
            <w:r>
              <w:t>3.38</w:t>
            </w:r>
          </w:p>
        </w:tc>
      </w:tr>
      <w:tr>
        <w:tc>
          <w:tcPr>
            <w:tcW w:type="dxa" w:w="2551"/>
          </w:tcPr>
          <w:p>
            <w:r>
              <w:t>Outperformance vs Peers</w:t>
            </w:r>
          </w:p>
        </w:tc>
        <w:tc>
          <w:tcPr>
            <w:tcW w:type="dxa" w:w="1644"/>
          </w:tcPr>
          <w:p>
            <w:r>
              <w:t>0.25</w:t>
            </w:r>
          </w:p>
        </w:tc>
        <w:tc>
          <w:tcPr>
            <w:tcW w:type="dxa" w:w="1644"/>
          </w:tcPr>
          <w:p>
            <w:r>
              <w:t>0.46</w:t>
            </w:r>
          </w:p>
        </w:tc>
        <w:tc>
          <w:tcPr>
            <w:tcW w:type="dxa" w:w="1644"/>
          </w:tcPr>
          <w:p>
            <w:r>
              <w:t>1.65</w:t>
            </w:r>
          </w:p>
        </w:tc>
        <w:tc>
          <w:tcPr>
            <w:tcW w:type="dxa" w:w="1644"/>
          </w:tcPr>
          <w:p>
            <w:r>
              <w:t>2.42</w:t>
            </w:r>
          </w:p>
        </w:tc>
        <w:tc>
          <w:tcPr>
            <w:tcW w:type="dxa" w:w="1644"/>
          </w:tcPr>
          <w:p>
            <w:r>
              <w:t>2.17</w:t>
            </w:r>
          </w:p>
        </w:tc>
      </w:tr>
      <w:tr>
        <w:tc>
          <w:tcPr>
            <w:tcW w:type="dxa" w:w="2551"/>
          </w:tcPr>
          <w:p>
            <w:r>
              <w:t>Outperformance vs Inflation</w:t>
            </w:r>
          </w:p>
        </w:tc>
        <w:tc>
          <w:tcPr>
            <w:tcW w:type="dxa" w:w="1644"/>
          </w:tcPr>
          <w:p>
            <w:r>
              <w:t>3.51</w:t>
            </w:r>
          </w:p>
        </w:tc>
        <w:tc>
          <w:tcPr>
            <w:tcW w:type="dxa" w:w="1644"/>
          </w:tcPr>
          <w:p>
            <w:r>
              <w:t>4.51</w:t>
            </w:r>
          </w:p>
        </w:tc>
        <w:tc>
          <w:tcPr>
            <w:tcW w:type="dxa" w:w="1644"/>
          </w:tcPr>
          <w:p>
            <w:r>
              <w:t>9.07</w:t>
            </w:r>
          </w:p>
        </w:tc>
        <w:tc>
          <w:tcPr>
            <w:tcW w:type="dxa" w:w="1644"/>
          </w:tcPr>
          <w:p>
            <w:r>
              <w:t>7.27</w:t>
            </w:r>
          </w:p>
        </w:tc>
        <w:tc>
          <w:tcPr>
            <w:tcW w:type="dxa" w:w="1644"/>
          </w:tcPr>
          <w:p>
            <w:r>
              <w:t>8.35</w:t>
            </w:r>
          </w:p>
        </w:tc>
      </w:tr>
    </w:tbl>
    <w:p>
      <w:pPr>
        <w:pStyle w:val="Note"/>
      </w:pPr>
      <w:r>
        <w:t>Inception Date: 31 December 2022</w:t>
      </w:r>
    </w:p>
    <w:p>
      <w:pPr>
        <w:pStyle w:val="BodyStyle"/>
      </w:pPr>
    </w:p>
    <w:p>
      <w:pPr>
        <w:sectPr>
          <w:headerReference w:type="default" r:id="rId11"/>
          <w:footerReference w:type="default" r:id="rId12"/>
          <w:headerReference w:type="first" r:id="rId13"/>
          <w:footerReference w:type="first" r:id="rId14"/>
          <w:type w:val="continuous"/>
          <w:pgSz w:w="11900" w:h="16840" w:code="9"/>
          <w:pgMar w:top="0" w:right="420" w:bottom="0" w:left="425" w:header="0" w:footer="868" w:gutter="0"/>
          <w:cols w:space="284"/>
          <w:docGrid w:linePitch="360"/>
        </w:sectPr>
      </w:pPr>
    </w:p>
    <w:p>
      <w:pPr>
        <w:pStyle w:val="Heading2-Green"/>
      </w:pPr>
      <w:r>
        <w:t>Investment Objective</w:t>
      </w:r>
    </w:p>
    <w:p>
      <w:pPr>
        <w:pStyle w:val="BodyStyle"/>
      </w:pPr>
      <w:r>
        <w:t xml:space="preserve">Outperform the FE AMI Mixed Asset – Balanced Peer Index, after fees, over rolling five-year periods. </w:t>
      </w:r>
    </w:p>
    <w:p>
      <w:pPr>
        <w:pStyle w:val="Heading2-Green"/>
      </w:pPr>
      <w:r>
        <w:t>Strategy Overview</w:t>
      </w:r>
    </w:p>
    <w:p>
      <w:pPr>
        <w:pStyle w:val="BodyStyle"/>
      </w:pPr>
      <w:r>
        <w:t>Atchison Active 55 Portfolio is a Separately Managed Account (SMA), which is an all-inclusive diversified, multi-asset, investment portfolio professionally managed for you (the client) on behalf of a financial advisor. This portfolio is made up of 55% growth assets, and 45% defensive assets and uses a combination of passive ETFs and active managers.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0.42%</w:t>
            </w:r>
          </w:p>
        </w:tc>
      </w:tr>
      <w:tr>
        <w:tc>
          <w:tcPr>
            <w:tcW w:type="dxa" w:w="2268"/>
          </w:tcPr>
          <w:p>
            <w:r>
              <w:t>Underlying Perf Fees</w:t>
            </w:r>
          </w:p>
        </w:tc>
        <w:tc>
          <w:tcPr>
            <w:tcW w:type="dxa" w:w="3118"/>
          </w:tcPr>
          <w:p>
            <w:r>
              <w:t>0.07%</w:t>
            </w:r>
          </w:p>
        </w:tc>
      </w:tr>
    </w:tbl>
    <w:br w:type="column"/>
    <w:p>
      <w:pPr>
        <w:pStyle w:val="Heading2-Green"/>
      </w:pPr>
      <w:r>
        <w:t>Performance</w:t>
      </w:r>
    </w:p>
    <w:p>
      <w:r>
        <w:drawing>
          <wp:inline xmlns:a="http://schemas.openxmlformats.org/drawingml/2006/main" xmlns:pic="http://schemas.openxmlformats.org/drawingml/2006/picture">
            <wp:extent cx="3240000" cy="162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7"/>
                    <a:stretch>
                      <a:fillRect/>
                    </a:stretch>
                  </pic:blipFill>
                  <pic:spPr>
                    <a:xfrm>
                      <a:off x="0" y="0"/>
                      <a:ext cx="3240000" cy="1620000"/>
                    </a:xfrm>
                    <a:prstGeom prst="rect"/>
                  </pic:spPr>
                </pic:pic>
              </a:graphicData>
            </a:graphic>
          </wp:inline>
        </w:drawing>
      </w:r>
    </w:p>
    <w:p>
      <w:r>
        <w:drawing>
          <wp:inline xmlns:a="http://schemas.openxmlformats.org/drawingml/2006/main" xmlns:pic="http://schemas.openxmlformats.org/drawingml/2006/picture">
            <wp:extent cx="3240000" cy="162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18"/>
                    <a:stretch>
                      <a:fillRect/>
                    </a:stretch>
                  </pic:blipFill>
                  <pic:spPr>
                    <a:xfrm>
                      <a:off x="0" y="0"/>
                      <a:ext cx="3240000" cy="1620000"/>
                    </a:xfrm>
                    <a:prstGeom prst="rect"/>
                  </pic:spPr>
                </pic:pic>
              </a:graphicData>
            </a:graphic>
          </wp:inline>
        </w:drawing>
      </w:r>
    </w:p>
    <w:p>
      <w:pPr>
        <w:pStyle w:val="Heading2-Green"/>
      </w:pPr>
      <w:r>
        <w:t>Asset Allocation</w:t>
      </w:r>
    </w:p>
    <w:p>
      <w:r>
        <w:drawing>
          <wp:inline xmlns:a="http://schemas.openxmlformats.org/drawingml/2006/main" xmlns:pic="http://schemas.openxmlformats.org/drawingml/2006/picture">
            <wp:extent cx="3240000" cy="162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19"/>
                    <a:stretch>
                      <a:fillRect/>
                    </a:stretch>
                  </pic:blipFill>
                  <pic:spPr>
                    <a:xfrm>
                      <a:off x="0" y="0"/>
                      <a:ext cx="3240000" cy="1620000"/>
                    </a:xfrm>
                    <a:prstGeom prst="rect"/>
                  </pic:spPr>
                </pic:pic>
              </a:graphicData>
            </a:graphic>
          </wp:inline>
        </w:drawing>
      </w:r>
    </w:p>
    <w:br w:type="column"/>
    <w:p>
      <w:pPr>
        <w:pStyle w:val="Heading2-Green"/>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13.79</w:t>
            </w:r>
          </w:p>
        </w:tc>
        <w:tc>
          <w:tcPr>
            <w:tcW w:type="dxa" w:w="1039"/>
          </w:tcPr>
          <w:p>
            <w:r>
              <w:t>10.06</w:t>
            </w:r>
          </w:p>
        </w:tc>
        <w:tc>
          <w:tcPr>
            <w:tcW w:type="dxa" w:w="1039"/>
          </w:tcPr>
          <w:p>
            <w:r>
              <w:t>12.61</w:t>
            </w:r>
          </w:p>
        </w:tc>
      </w:tr>
      <w:tr>
        <w:tc>
          <w:tcPr>
            <w:tcW w:type="dxa" w:w="1984"/>
          </w:tcPr>
          <w:p>
            <w:r>
              <w:t>International Shares</w:t>
            </w:r>
          </w:p>
        </w:tc>
        <w:tc>
          <w:tcPr>
            <w:tcW w:type="dxa" w:w="1039"/>
          </w:tcPr>
          <w:p>
            <w:r>
              <w:t>24.62</w:t>
            </w:r>
          </w:p>
        </w:tc>
        <w:tc>
          <w:tcPr>
            <w:tcW w:type="dxa" w:w="1039"/>
          </w:tcPr>
          <w:p>
            <w:r>
              <w:t>22.89</w:t>
            </w:r>
          </w:p>
        </w:tc>
        <w:tc>
          <w:tcPr>
            <w:tcW w:type="dxa" w:w="1039"/>
          </w:tcPr>
          <w:p>
            <w:r>
              <w:t>23.09</w:t>
            </w:r>
          </w:p>
        </w:tc>
      </w:tr>
      <w:tr>
        <w:tc>
          <w:tcPr>
            <w:tcW w:type="dxa" w:w="1984"/>
          </w:tcPr>
          <w:p>
            <w:r>
              <w:t>Real Assets</w:t>
            </w:r>
          </w:p>
        </w:tc>
        <w:tc>
          <w:tcPr>
            <w:tcW w:type="dxa" w:w="1039"/>
          </w:tcPr>
          <w:p>
            <w:r>
              <w:t>9.21</w:t>
            </w:r>
          </w:p>
        </w:tc>
        <w:tc>
          <w:tcPr>
            <w:tcW w:type="dxa" w:w="1039"/>
          </w:tcPr>
          <w:p>
            <w:r>
              <w:t>4.45</w:t>
            </w:r>
          </w:p>
        </w:tc>
        <w:tc>
          <w:tcPr>
            <w:tcW w:type="dxa" w:w="1039"/>
          </w:tcPr>
          <w:p>
            <w:r>
              <w:t>6.72</w:t>
            </w:r>
          </w:p>
        </w:tc>
      </w:tr>
      <w:tr>
        <w:tc>
          <w:tcPr>
            <w:tcW w:type="dxa" w:w="1984"/>
          </w:tcPr>
          <w:p>
            <w:r>
              <w:t>Alternatives</w:t>
            </w:r>
          </w:p>
        </w:tc>
        <w:tc>
          <w:tcPr>
            <w:tcW w:type="dxa" w:w="1039"/>
          </w:tcPr>
          <w:p>
            <w:r>
              <w:t>13.42</w:t>
            </w:r>
          </w:p>
        </w:tc>
        <w:tc>
          <w:tcPr>
            <w:tcW w:type="dxa" w:w="1039"/>
          </w:tcPr>
          <w:p>
            <w:r>
              <w:t>8.59</w:t>
            </w:r>
          </w:p>
        </w:tc>
        <w:tc>
          <w:tcPr>
            <w:tcW w:type="dxa" w:w="1039"/>
          </w:tcPr>
          <w:p>
            <w:r>
              <w:t>8.7</w:t>
            </w:r>
          </w:p>
        </w:tc>
      </w:tr>
      <w:tr>
        <w:tc>
          <w:tcPr>
            <w:tcW w:type="dxa" w:w="1984"/>
          </w:tcPr>
          <w:p>
            <w:r>
              <w:t>Long Duration</w:t>
            </w:r>
          </w:p>
        </w:tc>
        <w:tc>
          <w:tcPr>
            <w:tcW w:type="dxa" w:w="1039"/>
          </w:tcPr>
          <w:p>
            <w:r>
              <w:t>2.05</w:t>
            </w:r>
          </w:p>
        </w:tc>
        <w:tc>
          <w:tcPr>
            <w:tcW w:type="dxa" w:w="1039"/>
          </w:tcPr>
          <w:p>
            <w:r>
              <w:t>2.32</w:t>
            </w:r>
          </w:p>
        </w:tc>
        <w:tc>
          <w:tcPr>
            <w:tcW w:type="dxa" w:w="1039"/>
          </w:tcPr>
          <w:p>
            <w:r>
              <w:t>3.71</w:t>
            </w:r>
          </w:p>
        </w:tc>
      </w:tr>
      <w:tr>
        <w:tc>
          <w:tcPr>
            <w:tcW w:type="dxa" w:w="1984"/>
          </w:tcPr>
          <w:p>
            <w:r>
              <w:t>Floating Rate</w:t>
            </w:r>
          </w:p>
        </w:tc>
        <w:tc>
          <w:tcPr>
            <w:tcW w:type="dxa" w:w="1039"/>
          </w:tcPr>
          <w:p>
            <w:r>
              <w:t>5.87</w:t>
            </w:r>
          </w:p>
        </w:tc>
        <w:tc>
          <w:tcPr>
            <w:tcW w:type="dxa" w:w="1039"/>
          </w:tcPr>
          <w:p>
            <w:r>
              <w:t>5.62</w:t>
            </w:r>
          </w:p>
        </w:tc>
        <w:tc>
          <w:tcPr>
            <w:tcW w:type="dxa" w:w="1039"/>
          </w:tcPr>
          <w:p>
            <w:r>
              <w:t>6.0</w:t>
            </w:r>
          </w:p>
        </w:tc>
      </w:tr>
      <w:tr>
        <w:tc>
          <w:tcPr>
            <w:tcW w:type="dxa" w:w="1984"/>
          </w:tcPr>
          <w:p>
            <w:r>
              <w:t>Cash</w:t>
            </w:r>
          </w:p>
        </w:tc>
        <w:tc>
          <w:tcPr>
            <w:tcW w:type="dxa" w:w="1039"/>
          </w:tcPr>
          <w:p>
            <w:r>
              <w:t>4.64</w:t>
            </w:r>
          </w:p>
        </w:tc>
        <w:tc>
          <w:tcPr>
            <w:tcW w:type="dxa" w:w="1039"/>
          </w:tcPr>
          <w:p>
            <w:r>
              <w:t>4.34</w:t>
            </w:r>
          </w:p>
        </w:tc>
        <w:tc>
          <w:tcPr>
            <w:tcW w:type="dxa" w:w="1039"/>
          </w:tcPr>
          <w:p>
            <w:r>
              <w:t>4.32</w:t>
            </w:r>
          </w:p>
        </w:tc>
      </w:tr>
    </w:tbl>
    <w:p>
      <w:pPr>
        <w:pStyle w:val="Heading2-Green"/>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0"/>
                    <a:stretch>
                      <a:fillRect/>
                    </a:stretch>
                  </pic:blipFill>
                  <pic:spPr>
                    <a:xfrm>
                      <a:off x="0" y="0"/>
                      <a:ext cx="3240000" cy="3240000"/>
                    </a:xfrm>
                    <a:prstGeom prst="rect"/>
                  </pic:spPr>
                </pic:pic>
              </a:graphicData>
            </a:graphic>
          </wp:inline>
        </w:drawing>
      </w:r>
    </w:p>
    <w:p>
      <w:pPr>
        <w:pStyle w:val="Heading2-Green"/>
      </w:pPr>
      <w:r>
        <w:t>Correlations</w:t>
      </w:r>
    </w:p>
    <w:p>
      <w:r>
        <w:drawing>
          <wp:inline xmlns:a="http://schemas.openxmlformats.org/drawingml/2006/main" xmlns:pic="http://schemas.openxmlformats.org/drawingml/2006/picture">
            <wp:extent cx="3240000" cy="3008571"/>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1"/>
                    <a:stretch>
                      <a:fillRect/>
                    </a:stretch>
                  </pic:blipFill>
                  <pic:spPr>
                    <a:xfrm>
                      <a:off x="0" y="0"/>
                      <a:ext cx="3240000" cy="3008571"/>
                    </a:xfrm>
                    <a:prstGeom prst="rect"/>
                  </pic:spPr>
                </pic:pic>
              </a:graphicData>
            </a:graphic>
          </wp:inline>
        </w:drawing>
      </w:r>
    </w:p>
    <w:p>
      <w:pPr>
        <w:pStyle w:val="Heading2-Green"/>
      </w:pPr>
      <w:r>
        <w:t>1 Year Performance Heatmap</w:t>
      </w:r>
    </w:p>
    <w:p>
      <w:r>
        <w:drawing>
          <wp:inline xmlns:a="http://schemas.openxmlformats.org/drawingml/2006/main" xmlns:pic="http://schemas.openxmlformats.org/drawingml/2006/picture">
            <wp:extent cx="3240000" cy="3008571"/>
            <wp:docPr id="6" name="Picture 6"/>
            <wp:cNvGraphicFramePr>
              <a:graphicFrameLocks noChangeAspect="1"/>
            </wp:cNvGraphicFramePr>
            <a:graphic>
              <a:graphicData uri="http://schemas.openxmlformats.org/drawingml/2006/picture">
                <pic:pic>
                  <pic:nvPicPr>
                    <pic:cNvPr id="0" name="6_Sleeve_Treemap1_1Yr.png"/>
                    <pic:cNvPicPr/>
                  </pic:nvPicPr>
                  <pic:blipFill>
                    <a:blip r:embed="rId22"/>
                    <a:stretch>
                      <a:fillRect/>
                    </a:stretch>
                  </pic:blipFill>
                  <pic:spPr>
                    <a:xfrm>
                      <a:off x="0" y="0"/>
                      <a:ext cx="3240000" cy="3008571"/>
                    </a:xfrm>
                    <a:prstGeom prst="rect"/>
                  </pic:spPr>
                </pic:pic>
              </a:graphicData>
            </a:graphic>
          </wp:inline>
        </w:drawing>
      </w:r>
    </w:p>
    <w:p>
      <w:pPr>
        <w:pStyle w:val="Heading2-Green"/>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MSFT.NAS</w:t>
            </w:r>
          </w:p>
        </w:tc>
        <w:tc>
          <w:tcPr>
            <w:tcW w:type="dxa" w:w="3685"/>
          </w:tcPr>
          <w:p>
            <w:r>
              <w:t>MICROSOFT CORP</w:t>
            </w:r>
          </w:p>
        </w:tc>
      </w:tr>
      <w:tr>
        <w:tc>
          <w:tcPr>
            <w:tcW w:type="dxa" w:w="1417"/>
          </w:tcPr>
          <w:p>
            <w:r>
              <w:t>META.NAS</w:t>
            </w:r>
          </w:p>
        </w:tc>
        <w:tc>
          <w:tcPr>
            <w:tcW w:type="dxa" w:w="3685"/>
          </w:tcPr>
          <w:p>
            <w:r>
              <w:t>META PLATFORMS INC CLASS A</w:t>
            </w:r>
          </w:p>
        </w:tc>
      </w:tr>
      <w:tr>
        <w:tc>
          <w:tcPr>
            <w:tcW w:type="dxa" w:w="1417"/>
          </w:tcPr>
          <w:p>
            <w:r>
              <w:t>AAPL.NAS</w:t>
            </w:r>
          </w:p>
        </w:tc>
        <w:tc>
          <w:tcPr>
            <w:tcW w:type="dxa" w:w="3685"/>
          </w:tcPr>
          <w:p>
            <w:r>
              <w:t>APPLE INC</w:t>
            </w:r>
          </w:p>
        </w:tc>
      </w:tr>
      <w:tr>
        <w:tc>
          <w:tcPr>
            <w:tcW w:type="dxa" w:w="1417"/>
          </w:tcPr>
          <w:p>
            <w:r>
              <w:t>AMZN.NAS</w:t>
            </w:r>
          </w:p>
        </w:tc>
        <w:tc>
          <w:tcPr>
            <w:tcW w:type="dxa" w:w="3685"/>
          </w:tcPr>
          <w:p>
            <w:r>
              <w:t>AMAZON COM INC</w:t>
            </w:r>
          </w:p>
        </w:tc>
      </w:tr>
      <w:tr>
        <w:tc>
          <w:tcPr>
            <w:tcW w:type="dxa" w:w="1417"/>
          </w:tcPr>
          <w:p>
            <w:r>
              <w:t>LLY.NYS</w:t>
            </w:r>
          </w:p>
        </w:tc>
        <w:tc>
          <w:tcPr>
            <w:tcW w:type="dxa" w:w="3685"/>
          </w:tcPr>
          <w:p>
            <w:r>
              <w:t>ELI LILLY</w:t>
            </w:r>
          </w:p>
        </w:tc>
      </w:tr>
      <w:tr>
        <w:tc>
          <w:tcPr>
            <w:tcW w:type="dxa" w:w="1417"/>
          </w:tcPr>
          <w:p>
            <w:r>
              <w:t>NAB-AU</w:t>
            </w:r>
          </w:p>
        </w:tc>
        <w:tc>
          <w:tcPr>
            <w:tcW w:type="dxa" w:w="3685"/>
          </w:tcPr>
          <w:p>
            <w:r>
              <w:t>National Australia Bank Limited</w:t>
            </w:r>
          </w:p>
        </w:tc>
      </w:tr>
      <w:tr>
        <w:tc>
          <w:tcPr>
            <w:tcW w:type="dxa" w:w="1417"/>
          </w:tcPr>
          <w:p>
            <w:r>
              <w:t>GOOG.NAS</w:t>
            </w:r>
          </w:p>
        </w:tc>
        <w:tc>
          <w:tcPr>
            <w:tcW w:type="dxa" w:w="3685"/>
          </w:tcPr>
          <w:p>
            <w:r>
              <w:t>ALPHABET INC CLASS C</w:t>
            </w:r>
          </w:p>
        </w:tc>
      </w:tr>
    </w:tbl>
    <w:p>
      <w:pPr>
        <w:pStyle w:val="Heading2-Green"/>
      </w:pPr>
      <w:r>
        <w:t>Historical Allocation Changes</w:t>
      </w:r>
    </w:p>
    <w:p>
      <w:r>
        <w:drawing>
          <wp:inline xmlns:a="http://schemas.openxmlformats.org/drawingml/2006/main" xmlns:pic="http://schemas.openxmlformats.org/drawingml/2006/picture">
            <wp:extent cx="3240000" cy="2314286"/>
            <wp:docPr id="7" name="Picture 7"/>
            <wp:cNvGraphicFramePr>
              <a:graphicFrameLocks noChangeAspect="1"/>
            </wp:cNvGraphicFramePr>
            <a:graphic>
              <a:graphicData uri="http://schemas.openxmlformats.org/drawingml/2006/picture">
                <pic:pic>
                  <pic:nvPicPr>
                    <pic:cNvPr id="0" name="3_Allocation_FloatHistory.png"/>
                    <pic:cNvPicPr/>
                  </pic:nvPicPr>
                  <pic:blipFill>
                    <a:blip r:embed="rId23"/>
                    <a:stretch>
                      <a:fillRect/>
                    </a:stretch>
                  </pic:blipFill>
                  <pic:spPr>
                    <a:xfrm>
                      <a:off x="0" y="0"/>
                      <a:ext cx="3240000" cy="2314286"/>
                    </a:xfrm>
                    <a:prstGeom prst="rect"/>
                  </pic:spPr>
                </pic:pic>
              </a:graphicData>
            </a:graphic>
          </wp:inline>
        </w:drawing>
      </w:r>
    </w:p>
    <w:br w:type="column"/>
    <w:p>
      <w:pPr>
        <w:pStyle w:val="Heading2-Green"/>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Green"/>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1C33C8">
      <w:type w:val="continuous"/>
      <w:pgSz w:w="11900" w:h="16840" w:code="9"/>
      <w:pgMar w:top="0" w:right="420" w:bottom="0" w:left="425" w:header="0" w:footer="868"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AF4C7" w14:textId="77777777" w:rsidR="008505BC" w:rsidRDefault="008505BC" w:rsidP="007B4373">
      <w:r>
        <w:separator/>
      </w:r>
    </w:p>
  </w:endnote>
  <w:endnote w:type="continuationSeparator" w:id="0">
    <w:p w14:paraId="7365B17C" w14:textId="77777777" w:rsidR="008505BC" w:rsidRDefault="008505BC"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03E4215B">
              <wp:simplePos x="0" y="0"/>
              <wp:positionH relativeFrom="margin">
                <wp:posOffset>0</wp:posOffset>
              </wp:positionH>
              <wp:positionV relativeFrom="page">
                <wp:posOffset>10105390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EA36F31"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5.7pt" to="546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D3E22" w14:textId="77777777" w:rsidR="008505BC" w:rsidRDefault="008505BC" w:rsidP="007B4373">
      <w:r>
        <w:separator/>
      </w:r>
    </w:p>
  </w:footnote>
  <w:footnote w:type="continuationSeparator" w:id="0">
    <w:p w14:paraId="37B72F41" w14:textId="77777777" w:rsidR="008505BC" w:rsidRDefault="008505BC"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827B8" w14:textId="77777777" w:rsidR="001C33C8" w:rsidRDefault="001C33C8"/>
  <w:p w14:paraId="1A2E350C" w14:textId="77777777" w:rsidR="001C33C8" w:rsidRDefault="001C33C8"/>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7EFCFB2" w14:textId="77777777" w:rsidR="001C33C8" w:rsidRDefault="001C33C8"/>
  <w:p w14:paraId="2DC183F1" w14:textId="77777777" w:rsidR="001C33C8" w:rsidRDefault="001C33C8"/>
  <w:p w14:paraId="35035C8C" w14:textId="7A0BD9EE" w:rsidR="00D67117" w:rsidRDefault="002F4B28">
    <w:r w:rsidRPr="005A6718">
      <w:rPr>
        <w:b/>
        <w:bCs/>
        <w:noProof/>
      </w:rPr>
      <w:drawing>
        <wp:anchor distT="0" distB="288290" distL="0" distR="0" simplePos="0" relativeHeight="251724288" behindDoc="1" locked="0" layoutInCell="1" allowOverlap="1" wp14:anchorId="46544061" wp14:editId="60B2751B">
          <wp:simplePos x="0" y="0"/>
          <wp:positionH relativeFrom="page">
            <wp:posOffset>19050</wp:posOffset>
          </wp:positionH>
          <wp:positionV relativeFrom="page">
            <wp:posOffset>-66675</wp:posOffset>
          </wp:positionV>
          <wp:extent cx="7560000" cy="1702800"/>
          <wp:effectExtent l="0" t="0" r="3175" b="0"/>
          <wp:wrapNone/>
          <wp:docPr id="166689795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209828039"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FF9"/>
    <w:rsid w:val="0059421B"/>
    <w:rsid w:val="00595E5D"/>
    <w:rsid w:val="005961BD"/>
    <w:rsid w:val="005968B1"/>
    <w:rsid w:val="005A0EF5"/>
    <w:rsid w:val="005A237C"/>
    <w:rsid w:val="005A26E3"/>
    <w:rsid w:val="005A45D0"/>
    <w:rsid w:val="005B0B31"/>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4D15"/>
    <w:rsid w:val="008246D8"/>
    <w:rsid w:val="00824E97"/>
    <w:rsid w:val="00825259"/>
    <w:rsid w:val="00834DA8"/>
    <w:rsid w:val="00837192"/>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Green">
    <w:name w:val="Heading1-Green"/>
    <w:basedOn w:val="Heading1"/>
    <w:qFormat/>
    <w:rsid w:val="00BC4145"/>
    <w:pPr>
      <w:numPr>
        <w:numId w:val="0"/>
      </w:numPr>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Green">
    <w:name w:val="Heading2-Green"/>
    <w:basedOn w:val="Heading2-nonumbers"/>
    <w:qFormat/>
    <w:rsid w:val="00C22003"/>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3.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4.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164</cp:revision>
  <cp:lastPrinted>2022-04-29T02:04:00Z</cp:lastPrinted>
  <dcterms:created xsi:type="dcterms:W3CDTF">2022-07-06T04:09:00Z</dcterms:created>
  <dcterms:modified xsi:type="dcterms:W3CDTF">2025-02-07T05:11:00Z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