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4F9ECC" w14:textId="77777777" w:rsidR="005E14BC" w:rsidRPr="001C33C8" w:rsidRDefault="005E14BC" w:rsidP="001C33C8"/>
    <w:p>
      <w:pPr>
        <w:pStyle w:val="Heading10"/>
        <w:tabs>
          <w:tab w:pos="10772" w:val="right"/>
        </w:tabs>
      </w:pPr>
      <w:r>
        <w:t>Atchison Active 55 SMA</w:t>
      </w:r>
      <w:r>
        <w:tab/>
      </w:r>
      <w:r>
        <w:t>31 August 2025</w:t>
      </w:r>
    </w:p>
    <w:tbl>
      <w:tblPr>
        <w:tblStyle w:val="AtchisonTable1"/>
        <w:tblW w:type="auto" w:w="0"/>
        <w:tblLook w:firstColumn="1" w:firstRow="1" w:lastColumn="0" w:lastRow="0" w:noHBand="0" w:noVBand="1" w:val="04A0"/>
      </w:tblPr>
      <w:tblGrid>
        <w:gridCol w:w="1842"/>
        <w:gridCol w:w="1842"/>
        <w:gridCol w:w="1842"/>
        <w:gridCol w:w="1842"/>
        <w:gridCol w:w="1842"/>
        <w:gridCol w:w="1842"/>
      </w:tblGrid>
      <w:tr>
        <w:tc>
          <w:tcPr>
            <w:tcW w:type="dxa" w:w="2551"/>
          </w:tcPr>
          <w:p/>
        </w:tc>
        <w:tc>
          <w:tcPr>
            <w:tcW w:type="dxa" w:w="1644"/>
          </w:tcPr>
          <w:p>
            <w:r>
              <w:t>3 Months</w:t>
            </w:r>
          </w:p>
        </w:tc>
        <w:tc>
          <w:tcPr>
            <w:tcW w:type="dxa" w:w="1644"/>
          </w:tcPr>
          <w:p>
            <w:r>
              <w:t>6 Months</w:t>
            </w:r>
          </w:p>
        </w:tc>
        <w:tc>
          <w:tcPr>
            <w:tcW w:type="dxa" w:w="1644"/>
          </w:tcPr>
          <w:p>
            <w:r>
              <w:t>1 Year</w:t>
            </w:r>
          </w:p>
        </w:tc>
        <w:tc>
          <w:tcPr>
            <w:tcW w:type="dxa" w:w="1644"/>
          </w:tcPr>
          <w:p>
            <w:r>
              <w:t>2 Years (p.a.)</w:t>
            </w:r>
          </w:p>
        </w:tc>
        <w:tc>
          <w:tcPr>
            <w:tcW w:type="dxa" w:w="1644"/>
          </w:tcPr>
          <w:p>
            <w:r>
              <w:t>Since Inception (p.a.)</w:t>
            </w:r>
          </w:p>
        </w:tc>
      </w:tr>
      <w:tr>
        <w:tc>
          <w:tcPr>
            <w:tcW w:type="dxa" w:w="2551"/>
          </w:tcPr>
          <w:p>
            <w:r>
              <w:t>Atchison55ACTIVE</w:t>
            </w:r>
          </w:p>
        </w:tc>
        <w:tc>
          <w:tcPr>
            <w:tcW w:type="dxa" w:w="1644"/>
          </w:tcPr>
          <w:p>
            <w:r>
              <w:rPr>
                <w:b/>
              </w:rPr>
              <w:t>3.5</w:t>
            </w:r>
          </w:p>
        </w:tc>
        <w:tc>
          <w:tcPr>
            <w:tcW w:type="dxa" w:w="1644"/>
          </w:tcPr>
          <w:p>
            <w:r>
              <w:rPr>
                <w:b/>
              </w:rPr>
              <w:t>4.77</w:t>
            </w:r>
          </w:p>
        </w:tc>
        <w:tc>
          <w:tcPr>
            <w:tcW w:type="dxa" w:w="1644"/>
          </w:tcPr>
          <w:p>
            <w:r>
              <w:rPr>
                <w:b/>
              </w:rPr>
              <w:t>9.39</w:t>
            </w:r>
          </w:p>
        </w:tc>
        <w:tc>
          <w:tcPr>
            <w:tcW w:type="dxa" w:w="1644"/>
          </w:tcPr>
          <w:p>
            <w:r>
              <w:rPr>
                <w:b/>
              </w:rPr>
              <w:t>10.24</w:t>
            </w:r>
          </w:p>
        </w:tc>
        <w:tc>
          <w:tcPr>
            <w:tcW w:type="dxa" w:w="1644"/>
          </w:tcPr>
          <w:p>
            <w:r>
              <w:rPr>
                <w:b/>
              </w:rPr>
              <w:t>10.9</w:t>
            </w:r>
          </w:p>
        </w:tc>
      </w:tr>
      <w:tr>
        <w:tc>
          <w:tcPr>
            <w:tcW w:type="dxa" w:w="2551"/>
          </w:tcPr>
          <w:p>
            <w:r>
              <w:t>Peer Group</w:t>
            </w:r>
          </w:p>
        </w:tc>
        <w:tc>
          <w:tcPr>
            <w:tcW w:type="dxa" w:w="1644"/>
          </w:tcPr>
          <w:p>
            <w:r>
              <w:t>3.51</w:t>
            </w:r>
          </w:p>
        </w:tc>
        <w:tc>
          <w:tcPr>
            <w:tcW w:type="dxa" w:w="1644"/>
          </w:tcPr>
          <w:p>
            <w:r>
              <w:t>4.73</w:t>
            </w:r>
          </w:p>
        </w:tc>
        <w:tc>
          <w:tcPr>
            <w:tcW w:type="dxa" w:w="1644"/>
          </w:tcPr>
          <w:p>
            <w:r>
              <w:t>8.74</w:t>
            </w:r>
          </w:p>
        </w:tc>
        <w:tc>
          <w:tcPr>
            <w:tcW w:type="dxa" w:w="1644"/>
          </w:tcPr>
          <w:p>
            <w:r>
              <w:t>9.15</w:t>
            </w:r>
          </w:p>
        </w:tc>
        <w:tc>
          <w:tcPr>
            <w:tcW w:type="dxa" w:w="1644"/>
          </w:tcPr>
          <w:p>
            <w:r>
              <w:t>9.14</w:t>
            </w:r>
          </w:p>
        </w:tc>
      </w:tr>
      <w:tr>
        <w:tc>
          <w:tcPr>
            <w:tcW w:type="dxa" w:w="2551"/>
          </w:tcPr>
          <w:p>
            <w:r>
              <w:t>Inflation</w:t>
            </w:r>
          </w:p>
        </w:tc>
        <w:tc>
          <w:tcPr>
            <w:tcW w:type="dxa" w:w="1644"/>
          </w:tcPr>
          <w:p>
            <w:r>
              <w:t>-0.38</w:t>
            </w:r>
          </w:p>
        </w:tc>
        <w:tc>
          <w:tcPr>
            <w:tcW w:type="dxa" w:w="1644"/>
          </w:tcPr>
          <w:p>
            <w:r>
              <w:t>0.74</w:t>
            </w:r>
          </w:p>
        </w:tc>
        <w:tc>
          <w:tcPr>
            <w:tcW w:type="dxa" w:w="1644"/>
          </w:tcPr>
          <w:p>
            <w:r>
              <w:t>1.9</w:t>
            </w:r>
          </w:p>
        </w:tc>
        <w:tc>
          <w:tcPr>
            <w:tcW w:type="dxa" w:w="1644"/>
          </w:tcPr>
          <w:p>
            <w:r>
              <w:t>2.28</w:t>
            </w:r>
          </w:p>
        </w:tc>
        <w:tc>
          <w:tcPr>
            <w:tcW w:type="dxa" w:w="1644"/>
          </w:tcPr>
          <w:p>
            <w:r>
              <w:t>2.42</w:t>
            </w:r>
          </w:p>
        </w:tc>
      </w:tr>
      <w:tr>
        <w:tc>
          <w:tcPr>
            <w:tcW w:type="dxa" w:w="2551"/>
          </w:tcPr>
          <w:p>
            <w:r>
              <w:t>Outperformance vs Peers</w:t>
            </w:r>
          </w:p>
        </w:tc>
        <w:tc>
          <w:tcPr>
            <w:tcW w:type="dxa" w:w="1644"/>
          </w:tcPr>
          <w:p>
            <w:r>
              <w:t>-0.01</w:t>
            </w:r>
          </w:p>
        </w:tc>
        <w:tc>
          <w:tcPr>
            <w:tcW w:type="dxa" w:w="1644"/>
          </w:tcPr>
          <w:p>
            <w:r>
              <w:t>0.04</w:t>
            </w:r>
          </w:p>
        </w:tc>
        <w:tc>
          <w:tcPr>
            <w:tcW w:type="dxa" w:w="1644"/>
          </w:tcPr>
          <w:p>
            <w:r>
              <w:t>0.65</w:t>
            </w:r>
          </w:p>
        </w:tc>
        <w:tc>
          <w:tcPr>
            <w:tcW w:type="dxa" w:w="1644"/>
          </w:tcPr>
          <w:p>
            <w:r>
              <w:t>1.09</w:t>
            </w:r>
          </w:p>
        </w:tc>
        <w:tc>
          <w:tcPr>
            <w:tcW w:type="dxa" w:w="1644"/>
          </w:tcPr>
          <w:p>
            <w:r>
              <w:t>1.76</w:t>
            </w:r>
          </w:p>
        </w:tc>
      </w:tr>
      <w:tr>
        <w:tc>
          <w:tcPr>
            <w:tcW w:type="dxa" w:w="2551"/>
          </w:tcPr>
          <w:p>
            <w:r>
              <w:t>Outperformance vs Inflation</w:t>
            </w:r>
          </w:p>
        </w:tc>
        <w:tc>
          <w:tcPr>
            <w:tcW w:type="dxa" w:w="1644"/>
          </w:tcPr>
          <w:p>
            <w:r>
              <w:t>3.88</w:t>
            </w:r>
          </w:p>
        </w:tc>
        <w:tc>
          <w:tcPr>
            <w:tcW w:type="dxa" w:w="1644"/>
          </w:tcPr>
          <w:p>
            <w:r>
              <w:t>4.03</w:t>
            </w:r>
          </w:p>
        </w:tc>
        <w:tc>
          <w:tcPr>
            <w:tcW w:type="dxa" w:w="1644"/>
          </w:tcPr>
          <w:p>
            <w:r>
              <w:t>7.49</w:t>
            </w:r>
          </w:p>
        </w:tc>
        <w:tc>
          <w:tcPr>
            <w:tcW w:type="dxa" w:w="1644"/>
          </w:tcPr>
          <w:p>
            <w:r>
              <w:t>7.96</w:t>
            </w:r>
          </w:p>
        </w:tc>
        <w:tc>
          <w:tcPr>
            <w:tcW w:type="dxa" w:w="1644"/>
          </w:tcPr>
          <w:p>
            <w:r>
              <w:t>8.49</w:t>
            </w:r>
          </w:p>
        </w:tc>
      </w:tr>
    </w:tbl>
    <w:p>
      <w:pPr>
        <w:pStyle w:val="Note"/>
      </w:pPr>
      <w:r>
        <w:t>Inception Date: 31 December 2022</w:t>
      </w:r>
    </w:p>
    <w:p>
      <w:pPr>
        <w:sectPr>
          <w:headerReference w:type="even" r:id="rId11"/>
          <w:headerReference w:type="default" r:id="rId12"/>
          <w:footerReference w:type="even" r:id="rId13"/>
          <w:footerReference w:type="default" r:id="rId14"/>
          <w:headerReference w:type="first" r:id="rId15"/>
          <w:footerReference w:type="first" r:id="rId16"/>
          <w:type w:val="continuous"/>
          <w:pgSz w:w="11900" w:h="16840" w:code="9"/>
          <w:pgMar w:top="0" w:right="420" w:bottom="0" w:left="425" w:header="0" w:footer="726" w:gutter="0"/>
          <w:cols w:space="284"/>
          <w:docGrid w:linePitch="360"/>
        </w:sectPr>
      </w:pPr>
    </w:p>
    <w:p>
      <w:pPr>
        <w:pStyle w:val="Heading20"/>
      </w:pPr>
      <w:r>
        <w:t>Investment Objective</w:t>
      </w:r>
    </w:p>
    <w:p>
      <w:pPr>
        <w:pStyle w:val="BodyStyle"/>
      </w:pPr>
      <w:r>
        <w:t xml:space="preserve">Outperform the FE AMI Mixed Asset – Balanced Peer Index, after underlying manager fees and before tax, over rolling seven-year periods. </w:t>
      </w:r>
    </w:p>
    <w:p>
      <w:pPr>
        <w:pStyle w:val="Heading20"/>
      </w:pPr>
      <w:r>
        <w:t>Strategy Overview</w:t>
      </w:r>
    </w:p>
    <w:p>
      <w:pPr>
        <w:pStyle w:val="BodyStyle"/>
      </w:pPr>
      <w:r>
        <w:t>Atchison Active 55 Portfolio is a Separately Managed Account (SMA), which is an all-inclusive diversified, multi-asset, investment portfolio professionally managed for you (the client) on behalf of a financial advisor. This portfolio is made up of 55% growth assets, and 45% defensive assets and uses a combination of passive ETFs and active managers. Asset classes include Australian Shares, Global Shares, Alternatives, Floating Rate, Long Duration, Real Assets and Cash.</w:t>
      </w:r>
    </w:p>
    <w:tbl>
      <w:tblPr>
        <w:tblStyle w:val="AtchisonTable1"/>
        <w:tblW w:type="auto" w:w="0"/>
        <w:tblLook w:firstColumn="1" w:firstRow="1" w:lastColumn="0" w:lastRow="0" w:noHBand="0" w:noVBand="1" w:val="04A0"/>
      </w:tblPr>
      <w:tblGrid>
        <w:gridCol w:w="5527"/>
        <w:gridCol w:w="5527"/>
      </w:tblGrid>
      <w:tr>
        <w:tc>
          <w:tcPr>
            <w:tcW w:type="dxa" w:w="2268"/>
          </w:tcPr>
          <w:p>
            <w:r>
              <w:t>Key Details</w:t>
            </w:r>
          </w:p>
        </w:tc>
        <w:tc>
          <w:tcPr>
            <w:tcW w:type="dxa" w:w="3118"/>
          </w:tcPr>
          <w:p>
            <w:r/>
          </w:p>
        </w:tc>
      </w:tr>
      <w:tr>
        <w:tc>
          <w:tcPr>
            <w:tcW w:type="dxa" w:w="2268"/>
          </w:tcPr>
          <w:p>
            <w:r>
              <w:t>Strategy Category</w:t>
            </w:r>
          </w:p>
        </w:tc>
        <w:tc>
          <w:tcPr>
            <w:tcW w:type="dxa" w:w="3118"/>
          </w:tcPr>
          <w:p>
            <w:r>
              <w:t>Multi Asset</w:t>
            </w:r>
          </w:p>
        </w:tc>
      </w:tr>
      <w:tr>
        <w:tc>
          <w:tcPr>
            <w:tcW w:type="dxa" w:w="2268"/>
          </w:tcPr>
          <w:p>
            <w:r>
              <w:t>Strategy Provider</w:t>
            </w:r>
          </w:p>
        </w:tc>
        <w:tc>
          <w:tcPr>
            <w:tcW w:type="dxa" w:w="3118"/>
          </w:tcPr>
          <w:p>
            <w:r>
              <w:t>Atchison</w:t>
            </w:r>
          </w:p>
        </w:tc>
      </w:tr>
      <w:tr>
        <w:tc>
          <w:tcPr>
            <w:tcW w:type="dxa" w:w="2268"/>
          </w:tcPr>
          <w:p>
            <w:r>
              <w:t>Benchmark</w:t>
            </w:r>
          </w:p>
        </w:tc>
        <w:tc>
          <w:tcPr>
            <w:tcW w:type="dxa" w:w="3118"/>
          </w:tcPr>
          <w:p>
            <w:r>
              <w:t>FE AMI Mixed Asset – Balanced Peer Index</w:t>
            </w:r>
          </w:p>
        </w:tc>
      </w:tr>
      <w:tr>
        <w:tc>
          <w:tcPr>
            <w:tcW w:type="dxa" w:w="2268"/>
          </w:tcPr>
          <w:p>
            <w:r>
              <w:t>Inception Date</w:t>
            </w:r>
          </w:p>
        </w:tc>
        <w:tc>
          <w:tcPr>
            <w:tcW w:type="dxa" w:w="3118"/>
          </w:tcPr>
          <w:p>
            <w:r>
              <w:t>31 December 2022</w:t>
            </w:r>
          </w:p>
        </w:tc>
      </w:tr>
      <w:tr>
        <w:tc>
          <w:tcPr>
            <w:tcW w:type="dxa" w:w="2268"/>
          </w:tcPr>
          <w:p>
            <w:r>
              <w:t>Investment Horizon</w:t>
            </w:r>
          </w:p>
        </w:tc>
        <w:tc>
          <w:tcPr>
            <w:tcW w:type="dxa" w:w="3118"/>
          </w:tcPr>
          <w:p>
            <w:r>
              <w:t>7 Years</w:t>
            </w:r>
          </w:p>
        </w:tc>
      </w:tr>
      <w:tr>
        <w:tc>
          <w:tcPr>
            <w:tcW w:type="dxa" w:w="2268"/>
          </w:tcPr>
          <w:p>
            <w:r>
              <w:t>Risk Level (SRM)</w:t>
            </w:r>
          </w:p>
        </w:tc>
        <w:tc>
          <w:tcPr>
            <w:tcW w:type="dxa" w:w="3118"/>
          </w:tcPr>
          <w:p>
            <w:r>
              <w:t>Medium</w:t>
            </w:r>
          </w:p>
        </w:tc>
      </w:tr>
      <w:tr>
        <w:tc>
          <w:tcPr>
            <w:tcW w:type="dxa" w:w="2268"/>
          </w:tcPr>
          <w:p>
            <w:r>
              <w:t>Min Investment</w:t>
            </w:r>
          </w:p>
        </w:tc>
        <w:tc>
          <w:tcPr>
            <w:tcW w:type="dxa" w:w="3118"/>
          </w:tcPr>
          <w:p>
            <w:r>
              <w:t>25k</w:t>
            </w:r>
          </w:p>
        </w:tc>
      </w:tr>
      <w:tr>
        <w:tc>
          <w:tcPr>
            <w:tcW w:type="dxa" w:w="2268"/>
          </w:tcPr>
          <w:p>
            <w:r>
              <w:t>Product Fee</w:t>
            </w:r>
          </w:p>
        </w:tc>
        <w:tc>
          <w:tcPr>
            <w:tcW w:type="dxa" w:w="3118"/>
          </w:tcPr>
          <w:p>
            <w:r>
              <w:t>Platform Specific - Refer to PDS</w:t>
            </w:r>
          </w:p>
        </w:tc>
      </w:tr>
      <w:tr>
        <w:tc>
          <w:tcPr>
            <w:tcW w:type="dxa" w:w="2268"/>
          </w:tcPr>
          <w:p>
            <w:r>
              <w:t>Underlying MER</w:t>
            </w:r>
          </w:p>
        </w:tc>
        <w:tc>
          <w:tcPr>
            <w:tcW w:type="dxa" w:w="3118"/>
          </w:tcPr>
          <w:p>
            <w:r>
              <w:t>0.42%</w:t>
            </w:r>
          </w:p>
        </w:tc>
      </w:tr>
      <w:tr>
        <w:tc>
          <w:tcPr>
            <w:tcW w:type="dxa" w:w="2268"/>
          </w:tcPr>
          <w:p>
            <w:r>
              <w:t>Underlying Perf Fees</w:t>
            </w:r>
          </w:p>
        </w:tc>
        <w:tc>
          <w:tcPr>
            <w:tcW w:type="dxa" w:w="3118"/>
          </w:tcPr>
          <w:p>
            <w:r>
              <w:t>0.07%</w:t>
            </w:r>
          </w:p>
        </w:tc>
      </w:tr>
    </w:tbl>
    <w:p>
      <w:pPr>
        <w:pStyle w:val="Heading30"/>
      </w:pPr>
      <w:r>
        <w:t>Top 10 Share Exposures</w:t>
      </w:r>
    </w:p>
    <w:tbl>
      <w:tblPr>
        <w:tblStyle w:val="AtchisonTable1"/>
        <w:tblW w:type="auto" w:w="0"/>
        <w:tblLook w:firstColumn="1" w:firstRow="1" w:lastColumn="0" w:lastRow="0" w:noHBand="0" w:noVBand="1" w:val="04A0"/>
      </w:tblPr>
      <w:tblGrid>
        <w:gridCol w:w="5527"/>
        <w:gridCol w:w="5527"/>
      </w:tblGrid>
      <w:tr>
        <w:tc>
          <w:tcPr>
            <w:tcW w:type="dxa" w:w="1417"/>
          </w:tcPr>
          <w:p>
            <w:r>
              <w:rPr>
                <w:b/>
              </w:rPr>
              <w:t>Code</w:t>
            </w:r>
          </w:p>
        </w:tc>
        <w:tc>
          <w:tcPr>
            <w:tcW w:type="dxa" w:w="3685"/>
          </w:tcPr>
          <w:p>
            <w:r>
              <w:rPr>
                <w:b/>
              </w:rPr>
              <w:t>Name</w:t>
            </w:r>
          </w:p>
        </w:tc>
      </w:tr>
      <w:tr>
        <w:tc>
          <w:tcPr>
            <w:tcW w:type="dxa" w:w="1417"/>
          </w:tcPr>
          <w:p>
            <w:r>
              <w:t>MSFT.NAS</w:t>
            </w:r>
          </w:p>
        </w:tc>
        <w:tc>
          <w:tcPr>
            <w:tcW w:type="dxa" w:w="3685"/>
          </w:tcPr>
          <w:p>
            <w:r>
              <w:t>MICROSOFT CORP</w:t>
            </w:r>
          </w:p>
        </w:tc>
      </w:tr>
      <w:tr>
        <w:tc>
          <w:tcPr>
            <w:tcW w:type="dxa" w:w="1417"/>
          </w:tcPr>
          <w:p>
            <w:r>
              <w:t>AAPL.NAS</w:t>
            </w:r>
          </w:p>
        </w:tc>
        <w:tc>
          <w:tcPr>
            <w:tcW w:type="dxa" w:w="3685"/>
          </w:tcPr>
          <w:p>
            <w:r>
              <w:t>APPLE INC</w:t>
            </w:r>
          </w:p>
        </w:tc>
      </w:tr>
      <w:tr>
        <w:tc>
          <w:tcPr>
            <w:tcW w:type="dxa" w:w="1417"/>
          </w:tcPr>
          <w:p>
            <w:r>
              <w:t>BHP-AU</w:t>
            </w:r>
          </w:p>
        </w:tc>
        <w:tc>
          <w:tcPr>
            <w:tcW w:type="dxa" w:w="3685"/>
          </w:tcPr>
          <w:p>
            <w:r>
              <w:t>BHP Group Limited</w:t>
            </w:r>
          </w:p>
        </w:tc>
      </w:tr>
      <w:tr>
        <w:tc>
          <w:tcPr>
            <w:tcW w:type="dxa" w:w="1417"/>
          </w:tcPr>
          <w:p>
            <w:r>
              <w:t>NVDA.NAS</w:t>
            </w:r>
          </w:p>
        </w:tc>
        <w:tc>
          <w:tcPr>
            <w:tcW w:type="dxa" w:w="3685"/>
          </w:tcPr>
          <w:p>
            <w:r>
              <w:t>NVIDIA CORP</w:t>
            </w:r>
          </w:p>
        </w:tc>
      </w:tr>
      <w:tr>
        <w:tc>
          <w:tcPr>
            <w:tcW w:type="dxa" w:w="1417"/>
          </w:tcPr>
          <w:p>
            <w:r>
              <w:t>CBA-AU</w:t>
            </w:r>
          </w:p>
        </w:tc>
        <w:tc>
          <w:tcPr>
            <w:tcW w:type="dxa" w:w="3685"/>
          </w:tcPr>
          <w:p>
            <w:r>
              <w:t>Commonwealth Bank of Australia</w:t>
            </w:r>
          </w:p>
        </w:tc>
      </w:tr>
      <w:tr>
        <w:tc>
          <w:tcPr>
            <w:tcW w:type="dxa" w:w="1417"/>
          </w:tcPr>
          <w:p>
            <w:r>
              <w:t>AMZN.NAS</w:t>
            </w:r>
          </w:p>
        </w:tc>
        <w:tc>
          <w:tcPr>
            <w:tcW w:type="dxa" w:w="3685"/>
          </w:tcPr>
          <w:p>
            <w:r>
              <w:t>AMAZON COM INC</w:t>
            </w:r>
          </w:p>
        </w:tc>
      </w:tr>
      <w:tr>
        <w:tc>
          <w:tcPr>
            <w:tcW w:type="dxa" w:w="1417"/>
          </w:tcPr>
          <w:p>
            <w:r>
              <w:t>META.NAS</w:t>
            </w:r>
          </w:p>
        </w:tc>
        <w:tc>
          <w:tcPr>
            <w:tcW w:type="dxa" w:w="3685"/>
          </w:tcPr>
          <w:p>
            <w:r>
              <w:t>META PLATFORMS INC CLASS A</w:t>
            </w:r>
          </w:p>
        </w:tc>
      </w:tr>
      <w:tr>
        <w:tc>
          <w:tcPr>
            <w:tcW w:type="dxa" w:w="1417"/>
          </w:tcPr>
          <w:p>
            <w:r>
              <w:t>CSL-AU</w:t>
            </w:r>
          </w:p>
        </w:tc>
        <w:tc>
          <w:tcPr>
            <w:tcW w:type="dxa" w:w="3685"/>
          </w:tcPr>
          <w:p>
            <w:r>
              <w:t>CSL Limited</w:t>
            </w:r>
          </w:p>
        </w:tc>
      </w:tr>
      <w:tr>
        <w:tc>
          <w:tcPr>
            <w:tcW w:type="dxa" w:w="1417"/>
          </w:tcPr>
          <w:p>
            <w:r>
              <w:t>LLY.NYS</w:t>
            </w:r>
          </w:p>
        </w:tc>
        <w:tc>
          <w:tcPr>
            <w:tcW w:type="dxa" w:w="3685"/>
          </w:tcPr>
          <w:p>
            <w:r>
              <w:t>ELI LILLY</w:t>
            </w:r>
          </w:p>
        </w:tc>
      </w:tr>
      <w:tr>
        <w:tc>
          <w:tcPr>
            <w:tcW w:type="dxa" w:w="1417"/>
          </w:tcPr>
          <w:p>
            <w:r>
              <w:t>GOOG.NAS</w:t>
            </w:r>
          </w:p>
        </w:tc>
        <w:tc>
          <w:tcPr>
            <w:tcW w:type="dxa" w:w="3685"/>
          </w:tcPr>
          <w:p>
            <w:r>
              <w:t>ALPHABET INC CLASS C</w:t>
            </w:r>
          </w:p>
        </w:tc>
      </w:tr>
    </w:tbl>
    <w:br w:type="column"/>
    <w:p>
      <w:pPr>
        <w:pStyle w:val="Heading30"/>
      </w:pPr>
      <w:r>
        <w:t>Strategy Performance</w:t>
      </w:r>
    </w:p>
    <w:p>
      <w:r>
        <w:drawing>
          <wp:inline xmlns:a="http://schemas.openxmlformats.org/drawingml/2006/main" xmlns:pic="http://schemas.openxmlformats.org/drawingml/2006/picture">
            <wp:extent cx="3240000" cy="1800000"/>
            <wp:docPr id="1" name="Picture 1"/>
            <wp:cNvGraphicFramePr>
              <a:graphicFrameLocks noChangeAspect="1"/>
            </wp:cNvGraphicFramePr>
            <a:graphic>
              <a:graphicData uri="http://schemas.openxmlformats.org/drawingml/2006/picture">
                <pic:pic>
                  <pic:nvPicPr>
                    <pic:cNvPr id="0" name="1_Performance-Main_v2.png"/>
                    <pic:cNvPicPr/>
                  </pic:nvPicPr>
                  <pic:blipFill>
                    <a:blip r:embed="rId19"/>
                    <a:stretch>
                      <a:fillRect/>
                    </a:stretch>
                  </pic:blipFill>
                  <pic:spPr>
                    <a:xfrm>
                      <a:off x="0" y="0"/>
                      <a:ext cx="3240000" cy="1800000"/>
                    </a:xfrm>
                    <a:prstGeom prst="rect"/>
                  </pic:spPr>
                </pic:pic>
              </a:graphicData>
            </a:graphic>
          </wp:inline>
        </w:drawing>
      </w:r>
    </w:p>
    <w:p>
      <w:pPr>
        <w:pStyle w:val="Heading30"/>
      </w:pPr>
      <w:r>
        <w:t>Cumulative Performance Since Inception</w:t>
      </w:r>
    </w:p>
    <w:p>
      <w:r>
        <w:drawing>
          <wp:inline xmlns:a="http://schemas.openxmlformats.org/drawingml/2006/main" xmlns:pic="http://schemas.openxmlformats.org/drawingml/2006/picture">
            <wp:extent cx="3240000" cy="2160000"/>
            <wp:docPr id="2" name="Picture 2"/>
            <wp:cNvGraphicFramePr>
              <a:graphicFrameLocks noChangeAspect="1"/>
            </wp:cNvGraphicFramePr>
            <a:graphic>
              <a:graphicData uri="http://schemas.openxmlformats.org/drawingml/2006/picture">
                <pic:pic>
                  <pic:nvPicPr>
                    <pic:cNvPr id="0" name="1_Performance-Cum_v2.png"/>
                    <pic:cNvPicPr/>
                  </pic:nvPicPr>
                  <pic:blipFill>
                    <a:blip r:embed="rId20"/>
                    <a:stretch>
                      <a:fillRect/>
                    </a:stretch>
                  </pic:blipFill>
                  <pic:spPr>
                    <a:xfrm>
                      <a:off x="0" y="0"/>
                      <a:ext cx="3240000" cy="2160000"/>
                    </a:xfrm>
                    <a:prstGeom prst="rect"/>
                  </pic:spPr>
                </pic:pic>
              </a:graphicData>
            </a:graphic>
          </wp:inline>
        </w:drawing>
      </w:r>
    </w:p>
    <w:p>
      <w:pPr>
        <w:pStyle w:val="Heading30"/>
      </w:pPr>
      <w:r>
        <w:t>Portfolio Allocations</w:t>
      </w:r>
    </w:p>
    <w:p>
      <w:r>
        <w:drawing>
          <wp:inline xmlns:a="http://schemas.openxmlformats.org/drawingml/2006/main" xmlns:pic="http://schemas.openxmlformats.org/drawingml/2006/picture">
            <wp:extent cx="3240000" cy="1800000"/>
            <wp:docPr id="3" name="Picture 3"/>
            <wp:cNvGraphicFramePr>
              <a:graphicFrameLocks noChangeAspect="1"/>
            </wp:cNvGraphicFramePr>
            <a:graphic>
              <a:graphicData uri="http://schemas.openxmlformats.org/drawingml/2006/picture">
                <pic:pic>
                  <pic:nvPicPr>
                    <pic:cNvPr id="0" name="3_Alloc_Ranges.png"/>
                    <pic:cNvPicPr/>
                  </pic:nvPicPr>
                  <pic:blipFill>
                    <a:blip r:embed="rId21"/>
                    <a:stretch>
                      <a:fillRect/>
                    </a:stretch>
                  </pic:blipFill>
                  <pic:spPr>
                    <a:xfrm>
                      <a:off x="0" y="0"/>
                      <a:ext cx="3240000" cy="1800000"/>
                    </a:xfrm>
                    <a:prstGeom prst="rect"/>
                  </pic:spPr>
                </pic:pic>
              </a:graphicData>
            </a:graphic>
          </wp:inline>
        </w:drawing>
      </w:r>
    </w:p>
    <w:br w:type="column"/>
    <w:p>
      <w:pPr>
        <w:pStyle w:val="Heading30"/>
      </w:pPr>
      <w:r>
        <w:t>Asset Class Performance</w:t>
      </w:r>
    </w:p>
    <w:tbl>
      <w:tblPr>
        <w:tblStyle w:val="AtchisonTable1"/>
        <w:tblW w:type="auto" w:w="0"/>
        <w:tblLook w:firstColumn="1" w:firstRow="1" w:lastColumn="0" w:lastRow="0" w:noHBand="0" w:noVBand="1" w:val="04A0"/>
      </w:tblPr>
      <w:tblGrid>
        <w:gridCol w:w="3685"/>
        <w:gridCol w:w="3685"/>
        <w:gridCol w:w="3685"/>
      </w:tblGrid>
      <w:tr>
        <w:tc>
          <w:tcPr>
            <w:tcW w:type="dxa" w:w="1984"/>
          </w:tcPr>
          <w:p>
            <w:r>
              <w:rPr>
                <w:b/>
              </w:rPr>
              <w:t>Period</w:t>
            </w:r>
          </w:p>
        </w:tc>
        <w:tc>
          <w:tcPr>
            <w:tcW w:type="dxa" w:w="1559"/>
          </w:tcPr>
          <w:p>
            <w:r>
              <w:rPr>
                <w:b/>
              </w:rPr>
              <w:t>1 Year</w:t>
            </w:r>
          </w:p>
        </w:tc>
        <w:tc>
          <w:tcPr>
            <w:tcW w:type="dxa" w:w="1559"/>
          </w:tcPr>
          <w:p>
            <w:r>
              <w:rPr>
                <w:b/>
              </w:rPr>
              <w:t>2 Years (p.a.)</w:t>
            </w:r>
          </w:p>
        </w:tc>
      </w:tr>
      <w:tr>
        <w:tc>
          <w:tcPr>
            <w:tcW w:type="dxa" w:w="1984"/>
          </w:tcPr>
          <w:p>
            <w:r>
              <w:t>Australian Shares</w:t>
            </w:r>
          </w:p>
        </w:tc>
        <w:tc>
          <w:tcPr>
            <w:tcW w:type="dxa" w:w="1559"/>
          </w:tcPr>
          <w:p>
            <w:r>
              <w:t>14.75</w:t>
            </w:r>
          </w:p>
        </w:tc>
        <w:tc>
          <w:tcPr>
            <w:tcW w:type="dxa" w:w="1559"/>
          </w:tcPr>
          <w:p>
            <w:r>
              <w:t>13.82</w:t>
            </w:r>
          </w:p>
        </w:tc>
      </w:tr>
      <w:tr>
        <w:tc>
          <w:tcPr>
            <w:tcW w:type="dxa" w:w="1984"/>
          </w:tcPr>
          <w:p>
            <w:r>
              <w:t>International Shares</w:t>
            </w:r>
          </w:p>
        </w:tc>
        <w:tc>
          <w:tcPr>
            <w:tcW w:type="dxa" w:w="1559"/>
          </w:tcPr>
          <w:p>
            <w:r>
              <w:t>13.3</w:t>
            </w:r>
          </w:p>
        </w:tc>
        <w:tc>
          <w:tcPr>
            <w:tcW w:type="dxa" w:w="1559"/>
          </w:tcPr>
          <w:p>
            <w:r>
              <w:t>16.39</w:t>
            </w:r>
          </w:p>
        </w:tc>
      </w:tr>
      <w:tr>
        <w:tc>
          <w:tcPr>
            <w:tcW w:type="dxa" w:w="1984"/>
          </w:tcPr>
          <w:p>
            <w:r>
              <w:t>Real Assets</w:t>
            </w:r>
          </w:p>
        </w:tc>
        <w:tc>
          <w:tcPr>
            <w:tcW w:type="dxa" w:w="1559"/>
          </w:tcPr>
          <w:p>
            <w:r>
              <w:t>6.63</w:t>
            </w:r>
          </w:p>
        </w:tc>
        <w:tc>
          <w:tcPr>
            <w:tcW w:type="dxa" w:w="1559"/>
          </w:tcPr>
          <w:p>
            <w:r>
              <w:t>9.9</w:t>
            </w:r>
          </w:p>
        </w:tc>
      </w:tr>
      <w:tr>
        <w:tc>
          <w:tcPr>
            <w:tcW w:type="dxa" w:w="1984"/>
          </w:tcPr>
          <w:p>
            <w:r>
              <w:t>Alternatives</w:t>
            </w:r>
          </w:p>
        </w:tc>
        <w:tc>
          <w:tcPr>
            <w:tcW w:type="dxa" w:w="1559"/>
          </w:tcPr>
          <w:p>
            <w:r>
              <w:t>10.41</w:t>
            </w:r>
          </w:p>
        </w:tc>
        <w:tc>
          <w:tcPr>
            <w:tcW w:type="dxa" w:w="1559"/>
          </w:tcPr>
          <w:p>
            <w:r>
              <w:t>9.73</w:t>
            </w:r>
          </w:p>
        </w:tc>
      </w:tr>
      <w:tr>
        <w:tc>
          <w:tcPr>
            <w:tcW w:type="dxa" w:w="1984"/>
          </w:tcPr>
          <w:p>
            <w:r>
              <w:t>Long Duration</w:t>
            </w:r>
          </w:p>
        </w:tc>
        <w:tc>
          <w:tcPr>
            <w:tcW w:type="dxa" w:w="1559"/>
          </w:tcPr>
          <w:p>
            <w:r>
              <w:t>3.4</w:t>
            </w:r>
          </w:p>
        </w:tc>
        <w:tc>
          <w:tcPr>
            <w:tcW w:type="dxa" w:w="1559"/>
          </w:tcPr>
          <w:p>
            <w:r>
              <w:t>4.26</w:t>
            </w:r>
          </w:p>
        </w:tc>
      </w:tr>
      <w:tr>
        <w:tc>
          <w:tcPr>
            <w:tcW w:type="dxa" w:w="1984"/>
          </w:tcPr>
          <w:p>
            <w:r>
              <w:t>Floating Rate</w:t>
            </w:r>
          </w:p>
        </w:tc>
        <w:tc>
          <w:tcPr>
            <w:tcW w:type="dxa" w:w="1559"/>
          </w:tcPr>
          <w:p>
            <w:r>
              <w:t>4.95</w:t>
            </w:r>
          </w:p>
        </w:tc>
        <w:tc>
          <w:tcPr>
            <w:tcW w:type="dxa" w:w="1559"/>
          </w:tcPr>
          <w:p>
            <w:r>
              <w:t>5.97</w:t>
            </w:r>
          </w:p>
        </w:tc>
      </w:tr>
      <w:tr>
        <w:tc>
          <w:tcPr>
            <w:tcW w:type="dxa" w:w="1984"/>
          </w:tcPr>
          <w:p>
            <w:r>
              <w:t>Cash</w:t>
            </w:r>
          </w:p>
        </w:tc>
        <w:tc>
          <w:tcPr>
            <w:tcW w:type="dxa" w:w="1559"/>
          </w:tcPr>
          <w:p>
            <w:r>
              <w:t>4.37</w:t>
            </w:r>
          </w:p>
        </w:tc>
        <w:tc>
          <w:tcPr>
            <w:tcW w:type="dxa" w:w="1559"/>
          </w:tcPr>
          <w:p>
            <w:r>
              <w:t>4.43</w:t>
            </w:r>
          </w:p>
        </w:tc>
      </w:tr>
    </w:tbl>
    <w:p>
      <w:pPr>
        <w:pStyle w:val="Note"/>
      </w:pPr>
      <w:r>
        <w:t>Inception Date: 31 December 2022</w:t>
      </w:r>
    </w:p>
    <w:p>
      <w:pPr>
        <w:pStyle w:val="Heading30"/>
      </w:pPr>
      <w:r>
        <w:t>Portfolio Construction</w:t>
      </w:r>
    </w:p>
    <w:p>
      <w:r>
        <w:drawing>
          <wp:inline xmlns:a="http://schemas.openxmlformats.org/drawingml/2006/main" xmlns:pic="http://schemas.openxmlformats.org/drawingml/2006/picture">
            <wp:extent cx="3240000" cy="2700000"/>
            <wp:docPr id="4" name="Picture 4"/>
            <wp:cNvGraphicFramePr>
              <a:graphicFrameLocks noChangeAspect="1"/>
            </wp:cNvGraphicFramePr>
            <a:graphic>
              <a:graphicData uri="http://schemas.openxmlformats.org/drawingml/2006/picture">
                <pic:pic>
                  <pic:nvPicPr>
                    <pic:cNvPr id="0" name="3_Alloc_Mgr_Level_5.png"/>
                    <pic:cNvPicPr/>
                  </pic:nvPicPr>
                  <pic:blipFill>
                    <a:blip r:embed="rId22"/>
                    <a:stretch>
                      <a:fillRect/>
                    </a:stretch>
                  </pic:blipFill>
                  <pic:spPr>
                    <a:xfrm>
                      <a:off x="0" y="0"/>
                      <a:ext cx="3240000" cy="2700000"/>
                    </a:xfrm>
                    <a:prstGeom prst="rect"/>
                  </pic:spPr>
                </pic:pic>
              </a:graphicData>
            </a:graphic>
          </wp:inline>
        </w:drawing>
      </w:r>
    </w:p>
    <w:p>
      <w:pPr>
        <w:pStyle w:val="Heading30"/>
      </w:pPr>
      <w:r>
        <w:t>Correlations</w:t>
      </w:r>
    </w:p>
    <w:p>
      <w:r>
        <w:drawing>
          <wp:inline xmlns:a="http://schemas.openxmlformats.org/drawingml/2006/main" xmlns:pic="http://schemas.openxmlformats.org/drawingml/2006/picture">
            <wp:extent cx="3240000" cy="2700000"/>
            <wp:docPr id="5" name="Picture 5"/>
            <wp:cNvGraphicFramePr>
              <a:graphicFrameLocks noChangeAspect="1"/>
            </wp:cNvGraphicFramePr>
            <a:graphic>
              <a:graphicData uri="http://schemas.openxmlformats.org/drawingml/2006/picture">
                <pic:pic>
                  <pic:nvPicPr>
                    <pic:cNvPr id="0" name="6_Sleeve_MonthlyCorrel.png"/>
                    <pic:cNvPicPr/>
                  </pic:nvPicPr>
                  <pic:blipFill>
                    <a:blip r:embed="rId23"/>
                    <a:stretch>
                      <a:fillRect/>
                    </a:stretch>
                  </pic:blipFill>
                  <pic:spPr>
                    <a:xfrm>
                      <a:off x="0" y="0"/>
                      <a:ext cx="3240000" cy="2700000"/>
                    </a:xfrm>
                    <a:prstGeom prst="rect"/>
                  </pic:spPr>
                </pic:pic>
              </a:graphicData>
            </a:graphic>
          </wp:inline>
        </w:drawing>
      </w:r>
    </w:p>
    <w:br w:type="column"/>
    <w:p>
      <w:pPr>
        <w:pStyle w:val="Heading30"/>
      </w:pPr>
      <w:r>
        <w:t>Historical Allocation Changes</w:t>
      </w:r>
    </w:p>
    <w:p>
      <w:r>
        <w:drawing>
          <wp:inline xmlns:a="http://schemas.openxmlformats.org/drawingml/2006/main" xmlns:pic="http://schemas.openxmlformats.org/drawingml/2006/picture">
            <wp:extent cx="3240000" cy="2880000"/>
            <wp:docPr id="6" name="Picture 6"/>
            <wp:cNvGraphicFramePr>
              <a:graphicFrameLocks noChangeAspect="1"/>
            </wp:cNvGraphicFramePr>
            <a:graphic>
              <a:graphicData uri="http://schemas.openxmlformats.org/drawingml/2006/picture">
                <pic:pic>
                  <pic:nvPicPr>
                    <pic:cNvPr id="0" name="3_Allocation_FloatHistory.png"/>
                    <pic:cNvPicPr/>
                  </pic:nvPicPr>
                  <pic:blipFill>
                    <a:blip r:embed="rId24"/>
                    <a:stretch>
                      <a:fillRect/>
                    </a:stretch>
                  </pic:blipFill>
                  <pic:spPr>
                    <a:xfrm>
                      <a:off x="0" y="0"/>
                      <a:ext cx="3240000" cy="2880000"/>
                    </a:xfrm>
                    <a:prstGeom prst="rect"/>
                  </pic:spPr>
                </pic:pic>
              </a:graphicData>
            </a:graphic>
          </wp:inline>
        </w:drawing>
      </w:r>
    </w:p>
    <w:p>
      <w:pPr>
        <w:pStyle w:val="Heading30"/>
      </w:pPr>
      <w:r>
        <w:t>Underlying Current Manager Performance</w:t>
      </w:r>
    </w:p>
    <w:tbl>
      <w:tblPr>
        <w:tblStyle w:val="AtchisonTable1"/>
        <w:tblW w:type="auto" w:w="0"/>
        <w:tblLook w:firstColumn="1" w:firstRow="1" w:lastColumn="0" w:lastRow="0" w:noHBand="0" w:noVBand="1" w:val="04A0"/>
      </w:tblPr>
      <w:tblGrid>
        <w:gridCol w:w="3685"/>
        <w:gridCol w:w="3685"/>
        <w:gridCol w:w="3685"/>
      </w:tblGrid>
      <w:tr>
        <w:tc>
          <w:tcPr>
            <w:tcW w:type="dxa" w:w="2268"/>
          </w:tcPr>
          <w:p>
            <w:r>
              <w:rPr>
                <w:b/>
              </w:rPr>
              <w:t>Strategy</w:t>
            </w:r>
          </w:p>
        </w:tc>
        <w:tc>
          <w:tcPr>
            <w:tcW w:type="dxa" w:w="1417"/>
          </w:tcPr>
          <w:p>
            <w:r>
              <w:rPr>
                <w:b/>
              </w:rPr>
              <w:t>1 Year</w:t>
            </w:r>
          </w:p>
        </w:tc>
        <w:tc>
          <w:tcPr>
            <w:tcW w:type="dxa" w:w="1417"/>
          </w:tcPr>
          <w:p>
            <w:r>
              <w:rPr>
                <w:b/>
              </w:rPr>
              <w:t>2 Years (p.a.)</w:t>
            </w:r>
          </w:p>
        </w:tc>
      </w:tr>
      <w:tr>
        <w:tc>
          <w:tcPr>
            <w:tcW w:type="dxa" w:w="2268"/>
          </w:tcPr>
          <w:p>
            <w:r>
              <w:t>iShares ASX 200</w:t>
            </w:r>
          </w:p>
        </w:tc>
        <w:tc>
          <w:tcPr>
            <w:tcW w:type="dxa" w:w="1417"/>
          </w:tcPr>
          <w:p>
            <w:r>
              <w:t>14.79</w:t>
            </w:r>
          </w:p>
        </w:tc>
        <w:tc>
          <w:tcPr>
            <w:tcW w:type="dxa" w:w="1417"/>
          </w:tcPr>
          <w:p>
            <w:r>
              <w:t>14.72</w:t>
            </w:r>
          </w:p>
        </w:tc>
      </w:tr>
      <w:tr>
        <w:tc>
          <w:tcPr>
            <w:tcW w:type="dxa" w:w="2268"/>
          </w:tcPr>
          <w:p>
            <w:r>
              <w:t>Merlon Conentated AusEq</w:t>
            </w:r>
          </w:p>
        </w:tc>
        <w:tc>
          <w:tcPr>
            <w:tcW w:type="dxa" w:w="1417"/>
          </w:tcPr>
          <w:p>
            <w:r>
              <w:t>13.17</w:t>
            </w:r>
          </w:p>
        </w:tc>
        <w:tc>
          <w:tcPr>
            <w:tcW w:type="dxa" w:w="1417"/>
          </w:tcPr>
          <w:p>
            <w:r>
              <w:t>12.46</w:t>
            </w:r>
          </w:p>
        </w:tc>
      </w:tr>
      <w:tr>
        <w:tc>
          <w:tcPr>
            <w:tcW w:type="dxa" w:w="2268"/>
          </w:tcPr>
          <w:p>
            <w:r>
              <w:t>Ausbil Aus Small</w:t>
            </w:r>
          </w:p>
        </w:tc>
        <w:tc>
          <w:tcPr>
            <w:tcW w:type="dxa" w:w="1417"/>
          </w:tcPr>
          <w:p>
            <w:r>
              <w:t>43.63</w:t>
            </w:r>
          </w:p>
        </w:tc>
        <w:tc>
          <w:tcPr>
            <w:tcW w:type="dxa" w:w="1417"/>
          </w:tcPr>
          <w:p>
            <w:r>
              <w:t>34.48</w:t>
            </w:r>
          </w:p>
        </w:tc>
      </w:tr>
      <w:tr>
        <w:tc>
          <w:tcPr>
            <w:tcW w:type="dxa" w:w="2268"/>
          </w:tcPr>
          <w:p>
            <w:r>
              <w:t>Invesco Aus Small</w:t>
            </w:r>
          </w:p>
        </w:tc>
        <w:tc>
          <w:tcPr>
            <w:tcW w:type="dxa" w:w="1417"/>
          </w:tcPr>
          <w:p>
            <w:r>
              <w:t>21.67</w:t>
            </w:r>
          </w:p>
        </w:tc>
        <w:tc>
          <w:tcPr>
            <w:tcW w:type="dxa" w:w="1417"/>
          </w:tcPr>
          <w:p>
            <w:r>
              <w:t>17.83</w:t>
            </w:r>
          </w:p>
        </w:tc>
      </w:tr>
      <w:tr>
        <w:tc>
          <w:tcPr>
            <w:tcW w:type="dxa" w:w="2268"/>
          </w:tcPr>
          <w:p>
            <w:r>
              <w:t>Greencape High Convic</w:t>
            </w:r>
          </w:p>
        </w:tc>
        <w:tc>
          <w:tcPr>
            <w:tcW w:type="dxa" w:w="1417"/>
          </w:tcPr>
          <w:p>
            <w:r>
              <w:t>6.37</w:t>
            </w:r>
          </w:p>
        </w:tc>
        <w:tc>
          <w:tcPr>
            <w:tcW w:type="dxa" w:w="1417"/>
          </w:tcPr>
          <w:p>
            <w:r>
              <w:t>11.2</w:t>
            </w:r>
          </w:p>
        </w:tc>
      </w:tr>
      <w:tr>
        <w:tc>
          <w:tcPr>
            <w:tcW w:type="dxa" w:w="2268"/>
          </w:tcPr>
          <w:p>
            <w:r>
              <w:t>Hyperion Aus Growth</w:t>
            </w:r>
          </w:p>
        </w:tc>
        <w:tc>
          <w:tcPr>
            <w:tcW w:type="dxa" w:w="1417"/>
          </w:tcPr>
          <w:p>
            <w:r>
              <w:t>8.04</w:t>
            </w:r>
          </w:p>
        </w:tc>
        <w:tc>
          <w:tcPr>
            <w:tcW w:type="dxa" w:w="1417"/>
          </w:tcPr>
          <w:p>
            <w:r>
              <w:t>16.81</w:t>
            </w:r>
          </w:p>
        </w:tc>
      </w:tr>
      <w:tr>
        <w:tc>
          <w:tcPr>
            <w:tcW w:type="dxa" w:w="2268"/>
          </w:tcPr>
          <w:p>
            <w:r>
              <w:t>Invesco WS Aus Share</w:t>
            </w:r>
          </w:p>
        </w:tc>
        <w:tc>
          <w:tcPr>
            <w:tcW w:type="dxa" w:w="1417"/>
          </w:tcPr>
          <w:p>
            <w:r>
              <w:t>15.28</w:t>
            </w:r>
          </w:p>
        </w:tc>
        <w:tc>
          <w:tcPr>
            <w:tcW w:type="dxa" w:w="1417"/>
          </w:tcPr>
          <w:p>
            <w:r>
              <w:t>15.95</w:t>
            </w:r>
          </w:p>
        </w:tc>
      </w:tr>
      <w:tr>
        <w:tc>
          <w:tcPr>
            <w:tcW w:type="dxa" w:w="2268"/>
          </w:tcPr>
          <w:p>
            <w:r>
              <w:rPr>
                <w:b/>
              </w:rPr>
              <w:t>BM: Australian Shares</w:t>
            </w:r>
          </w:p>
        </w:tc>
        <w:tc>
          <w:tcPr>
            <w:tcW w:type="dxa" w:w="1417"/>
          </w:tcPr>
          <w:p>
            <w:r>
              <w:rPr>
                <w:b/>
              </w:rPr>
              <w:t>14.66</w:t>
            </w:r>
          </w:p>
        </w:tc>
        <w:tc>
          <w:tcPr>
            <w:tcW w:type="dxa" w:w="1417"/>
          </w:tcPr>
          <w:p>
            <w:r>
              <w:rPr>
                <w:b/>
              </w:rPr>
              <w:t>14.68</w:t>
            </w:r>
          </w:p>
        </w:tc>
      </w:tr>
      <w:tr>
        <w:tc>
          <w:tcPr>
            <w:tcW w:type="dxa" w:w="2268"/>
          </w:tcPr>
          <w:p>
            <w:r>
              <w:t>iShares US 500</w:t>
            </w:r>
          </w:p>
        </w:tc>
        <w:tc>
          <w:tcPr>
            <w:tcW w:type="dxa" w:w="1417"/>
          </w:tcPr>
          <w:p>
            <w:r>
              <w:t>21.92</w:t>
            </w:r>
          </w:p>
        </w:tc>
        <w:tc>
          <w:tcPr>
            <w:tcW w:type="dxa" w:w="1417"/>
          </w:tcPr>
          <w:p>
            <w:r>
              <w:t>20.73</w:t>
            </w:r>
          </w:p>
        </w:tc>
      </w:tr>
      <w:tr>
        <w:tc>
          <w:tcPr>
            <w:tcW w:type="dxa" w:w="2268"/>
          </w:tcPr>
          <w:p>
            <w:r>
              <w:t>iShares US 500 Hedged</w:t>
            </w:r>
          </w:p>
        </w:tc>
        <w:tc>
          <w:tcPr>
            <w:tcW w:type="dxa" w:w="1417"/>
          </w:tcPr>
          <w:p>
            <w:r>
              <w:t>16.14</w:t>
            </w:r>
          </w:p>
        </w:tc>
        <w:tc>
          <w:tcPr>
            <w:tcW w:type="dxa" w:w="1417"/>
          </w:tcPr>
          <w:p>
            <w:r>
              <w:t>19.59</w:t>
            </w:r>
          </w:p>
        </w:tc>
      </w:tr>
      <w:tr>
        <w:tc>
          <w:tcPr>
            <w:tcW w:type="dxa" w:w="2268"/>
          </w:tcPr>
          <w:p>
            <w:r>
              <w:t>VG Europe Eq</w:t>
            </w:r>
          </w:p>
        </w:tc>
        <w:tc>
          <w:tcPr>
            <w:tcW w:type="dxa" w:w="1417"/>
          </w:tcPr>
          <w:p>
            <w:r>
              <w:t>18.45</w:t>
            </w:r>
          </w:p>
        </w:tc>
        <w:tc>
          <w:tcPr>
            <w:tcW w:type="dxa" w:w="1417"/>
          </w:tcPr>
          <w:p>
            <w:r>
              <w:t>15.52</w:t>
            </w:r>
          </w:p>
        </w:tc>
      </w:tr>
      <w:tr>
        <w:tc>
          <w:tcPr>
            <w:tcW w:type="dxa" w:w="2268"/>
          </w:tcPr>
          <w:p>
            <w:r>
              <w:t>GQG Global Eq</w:t>
            </w:r>
          </w:p>
        </w:tc>
        <w:tc>
          <w:tcPr>
            <w:tcW w:type="dxa" w:w="1417"/>
          </w:tcPr>
          <w:p>
            <w:r>
              <w:t>-2.88</w:t>
            </w:r>
          </w:p>
        </w:tc>
        <w:tc>
          <w:tcPr>
            <w:tcW w:type="dxa" w:w="1417"/>
          </w:tcPr>
          <w:p>
            <w:r>
              <w:t>11.19</w:t>
            </w:r>
          </w:p>
        </w:tc>
      </w:tr>
      <w:tr>
        <w:tc>
          <w:tcPr>
            <w:tcW w:type="dxa" w:w="2268"/>
          </w:tcPr>
          <w:p>
            <w:r>
              <w:t>Man GLG Asia</w:t>
            </w:r>
          </w:p>
        </w:tc>
        <w:tc>
          <w:tcPr>
            <w:tcW w:type="dxa" w:w="1417"/>
          </w:tcPr>
          <w:p>
            <w:r>
              <w:t>26.79</w:t>
            </w:r>
          </w:p>
        </w:tc>
        <w:tc>
          <w:tcPr>
            <w:tcW w:type="dxa" w:w="1417"/>
          </w:tcPr>
          <w:p>
            <w:r>
              <w:t>18.43</w:t>
            </w:r>
          </w:p>
        </w:tc>
      </w:tr>
      <w:tr>
        <w:tc>
          <w:tcPr>
            <w:tcW w:type="dxa" w:w="2268"/>
          </w:tcPr>
          <w:p>
            <w:r>
              <w:t>Fairlight Glob Small Mid</w:t>
            </w:r>
          </w:p>
        </w:tc>
        <w:tc>
          <w:tcPr>
            <w:tcW w:type="dxa" w:w="1417"/>
          </w:tcPr>
          <w:p>
            <w:r>
              <w:t>8.02</w:t>
            </w:r>
          </w:p>
        </w:tc>
        <w:tc>
          <w:tcPr>
            <w:tcW w:type="dxa" w:w="1417"/>
          </w:tcPr>
          <w:p>
            <w:r>
              <w:t>10.47</w:t>
            </w:r>
          </w:p>
        </w:tc>
      </w:tr>
      <w:tr>
        <w:tc>
          <w:tcPr>
            <w:tcW w:type="dxa" w:w="2268"/>
          </w:tcPr>
          <w:p>
            <w:r>
              <w:rPr>
                <w:b/>
              </w:rPr>
              <w:t>BM: International Shares</w:t>
            </w:r>
          </w:p>
        </w:tc>
        <w:tc>
          <w:tcPr>
            <w:tcW w:type="dxa" w:w="1417"/>
          </w:tcPr>
          <w:p>
            <w:r>
              <w:rPr>
                <w:b/>
              </w:rPr>
              <w:t>20.47</w:t>
            </w:r>
          </w:p>
        </w:tc>
        <w:tc>
          <w:tcPr>
            <w:tcW w:type="dxa" w:w="1417"/>
          </w:tcPr>
          <w:p>
            <w:r>
              <w:rPr>
                <w:b/>
              </w:rPr>
              <w:t>18.75</w:t>
            </w:r>
          </w:p>
        </w:tc>
      </w:tr>
      <w:tr>
        <w:tc>
          <w:tcPr>
            <w:tcW w:type="dxa" w:w="2268"/>
          </w:tcPr>
          <w:p>
            <w:r>
              <w:t>iShares AREIT</w:t>
            </w:r>
          </w:p>
        </w:tc>
        <w:tc>
          <w:tcPr>
            <w:tcW w:type="dxa" w:w="1417"/>
          </w:tcPr>
          <w:p>
            <w:r>
              <w:t>12.62</w:t>
            </w:r>
          </w:p>
        </w:tc>
        <w:tc>
          <w:tcPr>
            <w:tcW w:type="dxa" w:w="1417"/>
          </w:tcPr>
          <w:p>
            <w:r>
              <w:t>18.67</w:t>
            </w:r>
          </w:p>
        </w:tc>
      </w:tr>
      <w:tr>
        <w:tc>
          <w:tcPr>
            <w:tcW w:type="dxa" w:w="2268"/>
          </w:tcPr>
          <w:p>
            <w:r>
              <w:t>iShares GREIT</w:t>
            </w:r>
          </w:p>
        </w:tc>
        <w:tc>
          <w:tcPr>
            <w:tcW w:type="dxa" w:w="1417"/>
          </w:tcPr>
          <w:p>
            <w:r>
              <w:t>0.21</w:t>
            </w:r>
          </w:p>
        </w:tc>
        <w:tc>
          <w:tcPr>
            <w:tcW w:type="dxa" w:w="1417"/>
          </w:tcPr>
          <w:p>
            <w:r>
              <w:t>7.72</w:t>
            </w:r>
          </w:p>
        </w:tc>
      </w:tr>
      <w:tr>
        <w:tc>
          <w:tcPr>
            <w:tcW w:type="dxa" w:w="2268"/>
          </w:tcPr>
          <w:p>
            <w:r>
              <w:t>Alceon Aus Prop &amp; Infra</w:t>
            </w:r>
          </w:p>
        </w:tc>
        <w:tc>
          <w:tcPr>
            <w:tcW w:type="dxa" w:w="1417"/>
          </w:tcPr>
          <w:p>
            <w:r>
              <w:t>8.56</w:t>
            </w:r>
          </w:p>
        </w:tc>
        <w:tc>
          <w:tcPr>
            <w:tcW w:type="dxa" w:w="1417"/>
          </w:tcPr>
          <w:p>
            <w:r>
              <w:t>8.25</w:t>
            </w:r>
          </w:p>
        </w:tc>
      </w:tr>
      <w:tr>
        <w:tc>
          <w:tcPr>
            <w:tcW w:type="dxa" w:w="2268"/>
          </w:tcPr>
          <w:p>
            <w:r>
              <w:t>CB RARE Infra Income H</w:t>
            </w:r>
          </w:p>
        </w:tc>
        <w:tc>
          <w:tcPr>
            <w:tcW w:type="dxa" w:w="1417"/>
          </w:tcPr>
          <w:p>
            <w:r>
              <w:t>10.32</w:t>
            </w:r>
          </w:p>
        </w:tc>
        <w:tc>
          <w:tcPr>
            <w:tcW w:type="dxa" w:w="1417"/>
          </w:tcPr>
          <w:p>
            <w:r>
              <w:t>11.27</w:t>
            </w:r>
          </w:p>
        </w:tc>
      </w:tr>
      <w:tr>
        <w:tc>
          <w:tcPr>
            <w:tcW w:type="dxa" w:w="2268"/>
          </w:tcPr>
          <w:p>
            <w:r>
              <w:rPr>
                <w:b/>
              </w:rPr>
              <w:t>BM: Real Assets</w:t>
            </w:r>
          </w:p>
        </w:tc>
        <w:tc>
          <w:tcPr>
            <w:tcW w:type="dxa" w:w="1417"/>
          </w:tcPr>
          <w:p>
            <w:r>
              <w:rPr>
                <w:b/>
              </w:rPr>
              <w:t>5.5</w:t>
            </w:r>
          </w:p>
        </w:tc>
        <w:tc>
          <w:tcPr>
            <w:tcW w:type="dxa" w:w="1417"/>
          </w:tcPr>
          <w:p>
            <w:r>
              <w:rPr>
                <w:b/>
              </w:rPr>
              <w:t>9.96</w:t>
            </w:r>
          </w:p>
        </w:tc>
      </w:tr>
      <w:tr>
        <w:tc>
          <w:tcPr>
            <w:tcW w:type="dxa" w:w="2268"/>
          </w:tcPr>
          <w:p>
            <w:r>
              <w:t>VE Global Listed P Private ETF</w:t>
            </w:r>
          </w:p>
        </w:tc>
        <w:tc>
          <w:tcPr>
            <w:tcW w:type="dxa" w:w="1417"/>
          </w:tcPr>
          <w:p>
            <w:r>
              <w:t>19.99</w:t>
            </w:r>
          </w:p>
        </w:tc>
        <w:tc>
          <w:tcPr>
            <w:tcW w:type="dxa" w:w="1417"/>
          </w:tcPr>
          <w:p>
            <w:r>
              <w:t>23.92</w:t>
            </w:r>
          </w:p>
        </w:tc>
      </w:tr>
      <w:tr>
        <w:tc>
          <w:tcPr>
            <w:tcW w:type="dxa" w:w="2268"/>
          </w:tcPr>
          <w:p>
            <w:r>
              <w:t>Talaria GE</w:t>
            </w:r>
          </w:p>
        </w:tc>
        <w:tc>
          <w:tcPr>
            <w:tcW w:type="dxa" w:w="1417"/>
          </w:tcPr>
          <w:p>
            <w:r>
              <w:t>5.36</w:t>
            </w:r>
          </w:p>
        </w:tc>
        <w:tc>
          <w:tcPr>
            <w:tcW w:type="dxa" w:w="1417"/>
          </w:tcPr>
          <w:p>
            <w:r>
              <w:t>5.48</w:t>
            </w:r>
          </w:p>
        </w:tc>
      </w:tr>
      <w:tr>
        <w:tc>
          <w:tcPr>
            <w:tcW w:type="dxa" w:w="2268"/>
          </w:tcPr>
          <w:p>
            <w:r>
              <w:t>P/E FX Alpha</w:t>
            </w:r>
          </w:p>
        </w:tc>
        <w:tc>
          <w:tcPr>
            <w:tcW w:type="dxa" w:w="1417"/>
          </w:tcPr>
          <w:p>
            <w:r>
              <w:t>-0.77</w:t>
            </w:r>
          </w:p>
        </w:tc>
        <w:tc>
          <w:tcPr>
            <w:tcW w:type="dxa" w:w="1417"/>
          </w:tcPr>
          <w:p>
            <w:r>
              <w:t>-0.7</w:t>
            </w:r>
          </w:p>
        </w:tc>
      </w:tr>
      <w:tr>
        <w:tc>
          <w:tcPr>
            <w:tcW w:type="dxa" w:w="2268"/>
          </w:tcPr>
          <w:p>
            <w:r>
              <w:t>Invesco Senior Secured</w:t>
            </w:r>
          </w:p>
        </w:tc>
        <w:tc>
          <w:tcPr>
            <w:tcW w:type="dxa" w:w="1417"/>
          </w:tcPr>
          <w:p>
            <w:r>
              <w:t>5.15</w:t>
            </w:r>
          </w:p>
        </w:tc>
        <w:tc>
          <w:tcPr>
            <w:tcW w:type="dxa" w:w="1417"/>
          </w:tcPr>
          <w:p>
            <w:r>
              <w:t>5.99</w:t>
            </w:r>
          </w:p>
        </w:tc>
      </w:tr>
      <w:tr>
        <w:tc>
          <w:tcPr>
            <w:tcW w:type="dxa" w:w="2268"/>
          </w:tcPr>
          <w:p>
            <w:r>
              <w:t>Pyford Global Abs</w:t>
            </w:r>
          </w:p>
        </w:tc>
        <w:tc>
          <w:tcPr>
            <w:tcW w:type="dxa" w:w="1417"/>
          </w:tcPr>
          <w:p>
            <w:r>
              <w:t>8.48</w:t>
            </w:r>
          </w:p>
        </w:tc>
        <w:tc>
          <w:tcPr>
            <w:tcW w:type="dxa" w:w="1417"/>
          </w:tcPr>
          <w:p>
            <w:r>
              <w:t>8.31</w:t>
            </w:r>
          </w:p>
        </w:tc>
      </w:tr>
      <w:tr>
        <w:tc>
          <w:tcPr>
            <w:tcW w:type="dxa" w:w="2268"/>
          </w:tcPr>
          <w:p>
            <w:r>
              <w:t>iShares Physical Gold</w:t>
            </w:r>
          </w:p>
        </w:tc>
        <w:tc>
          <w:tcPr>
            <w:tcW w:type="dxa" w:w="1417"/>
          </w:tcPr>
          <w:p>
            <w:r>
              <w:t>40.92</w:t>
            </w:r>
          </w:p>
        </w:tc>
        <w:tc>
          <w:tcPr>
            <w:tcW w:type="dxa" w:w="1417"/>
          </w:tcPr>
          <w:p>
            <w:r>
              <w:t>28.72</w:t>
            </w:r>
          </w:p>
        </w:tc>
      </w:tr>
      <w:tr>
        <w:tc>
          <w:tcPr>
            <w:tcW w:type="dxa" w:w="2268"/>
          </w:tcPr>
          <w:p>
            <w:r>
              <w:t>Barwon LPE</w:t>
            </w:r>
          </w:p>
        </w:tc>
        <w:tc>
          <w:tcPr>
            <w:tcW w:type="dxa" w:w="1417"/>
          </w:tcPr>
          <w:p>
            <w:r>
              <w:t>6.33</w:t>
            </w:r>
          </w:p>
        </w:tc>
        <w:tc>
          <w:tcPr>
            <w:tcW w:type="dxa" w:w="1417"/>
          </w:tcPr>
          <w:p>
            <w:r>
              <w:t>15.85</w:t>
            </w:r>
          </w:p>
        </w:tc>
      </w:tr>
      <w:tr>
        <w:tc>
          <w:tcPr>
            <w:tcW w:type="dxa" w:w="2268"/>
          </w:tcPr>
          <w:p>
            <w:r>
              <w:rPr>
                <w:b/>
              </w:rPr>
              <w:t>BM: Alternatives</w:t>
            </w:r>
          </w:p>
        </w:tc>
        <w:tc>
          <w:tcPr>
            <w:tcW w:type="dxa" w:w="1417"/>
          </w:tcPr>
          <w:p>
            <w:r>
              <w:rPr>
                <w:b/>
              </w:rPr>
              <w:t>4.34</w:t>
            </w:r>
          </w:p>
        </w:tc>
        <w:tc>
          <w:tcPr>
            <w:tcW w:type="dxa" w:w="1417"/>
          </w:tcPr>
          <w:p>
            <w:r>
              <w:rPr>
                <w:b/>
              </w:rPr>
              <w:t>4.42</w:t>
            </w:r>
          </w:p>
        </w:tc>
      </w:tr>
      <w:tr>
        <w:tc>
          <w:tcPr>
            <w:tcW w:type="dxa" w:w="2268"/>
          </w:tcPr>
          <w:p>
            <w:r>
              <w:t>iShares Aus Bond</w:t>
            </w:r>
          </w:p>
        </w:tc>
        <w:tc>
          <w:tcPr>
            <w:tcW w:type="dxa" w:w="1417"/>
          </w:tcPr>
          <w:p>
            <w:r>
              <w:t>4.15</w:t>
            </w:r>
          </w:p>
        </w:tc>
        <w:tc>
          <w:tcPr>
            <w:tcW w:type="dxa" w:w="1417"/>
          </w:tcPr>
          <w:p>
            <w:r>
              <w:t>4.69</w:t>
            </w:r>
          </w:p>
        </w:tc>
      </w:tr>
      <w:tr>
        <w:tc>
          <w:tcPr>
            <w:tcW w:type="dxa" w:w="2268"/>
          </w:tcPr>
          <w:p>
            <w:r>
              <w:t>iShares CPI Bond</w:t>
            </w:r>
          </w:p>
        </w:tc>
        <w:tc>
          <w:tcPr>
            <w:tcW w:type="dxa" w:w="1417"/>
          </w:tcPr>
          <w:p>
            <w:r>
              <w:t>1.73</w:t>
            </w:r>
          </w:p>
        </w:tc>
        <w:tc>
          <w:tcPr>
            <w:tcW w:type="dxa" w:w="1417"/>
          </w:tcPr>
          <w:p>
            <w:r>
              <w:t>2.97</w:t>
            </w:r>
          </w:p>
        </w:tc>
      </w:tr>
      <w:tr>
        <w:tc>
          <w:tcPr>
            <w:tcW w:type="dxa" w:w="2268"/>
          </w:tcPr>
          <w:p>
            <w:r>
              <w:t>iShares Globa Agg ESG</w:t>
            </w:r>
          </w:p>
        </w:tc>
        <w:tc>
          <w:tcPr>
            <w:tcW w:type="dxa" w:w="1417"/>
          </w:tcPr>
          <w:p>
            <w:r>
              <w:t>2.37</w:t>
            </w:r>
          </w:p>
        </w:tc>
        <w:tc>
          <w:tcPr>
            <w:tcW w:type="dxa" w:w="1417"/>
          </w:tcPr>
          <w:p>
            <w:r>
              <w:t>4.19</w:t>
            </w:r>
          </w:p>
        </w:tc>
      </w:tr>
      <w:tr>
        <w:tc>
          <w:tcPr>
            <w:tcW w:type="dxa" w:w="2268"/>
          </w:tcPr>
          <w:p>
            <w:r>
              <w:t>WA Aus Bond</w:t>
            </w:r>
          </w:p>
        </w:tc>
        <w:tc>
          <w:tcPr>
            <w:tcW w:type="dxa" w:w="1417"/>
          </w:tcPr>
          <w:p>
            <w:r>
              <w:t>4.44</w:t>
            </w:r>
          </w:p>
        </w:tc>
        <w:tc>
          <w:tcPr>
            <w:tcW w:type="dxa" w:w="1417"/>
          </w:tcPr>
          <w:p>
            <w:r>
              <w:t>5.13</w:t>
            </w:r>
          </w:p>
        </w:tc>
      </w:tr>
      <w:tr>
        <w:tc>
          <w:tcPr>
            <w:tcW w:type="dxa" w:w="2268"/>
          </w:tcPr>
          <w:p>
            <w:r>
              <w:t>Colchester Gov Bond</w:t>
            </w:r>
          </w:p>
        </w:tc>
        <w:tc>
          <w:tcPr>
            <w:tcW w:type="dxa" w:w="1417"/>
          </w:tcPr>
          <w:p>
            <w:r>
              <w:t>2.91</w:t>
            </w:r>
          </w:p>
        </w:tc>
        <w:tc>
          <w:tcPr>
            <w:tcW w:type="dxa" w:w="1417"/>
          </w:tcPr>
          <w:p>
            <w:r>
              <w:t>3.56</w:t>
            </w:r>
          </w:p>
        </w:tc>
      </w:tr>
      <w:tr>
        <w:tc>
          <w:tcPr>
            <w:tcW w:type="dxa" w:w="2268"/>
          </w:tcPr>
          <w:p>
            <w:r>
              <w:rPr>
                <w:b/>
              </w:rPr>
              <w:t>BM: Duration</w:t>
            </w:r>
          </w:p>
        </w:tc>
        <w:tc>
          <w:tcPr>
            <w:tcW w:type="dxa" w:w="1417"/>
          </w:tcPr>
          <w:p>
            <w:r>
              <w:rPr>
                <w:b/>
              </w:rPr>
              <w:t>3.46</w:t>
            </w:r>
          </w:p>
        </w:tc>
        <w:tc>
          <w:tcPr>
            <w:tcW w:type="dxa" w:w="1417"/>
          </w:tcPr>
          <w:p>
            <w:r>
              <w:rPr>
                <w:b/>
              </w:rPr>
              <w:t>4.4</w:t>
            </w:r>
          </w:p>
        </w:tc>
      </w:tr>
      <w:tr>
        <w:tc>
          <w:tcPr>
            <w:tcW w:type="dxa" w:w="2268"/>
          </w:tcPr>
          <w:p>
            <w:r>
              <w:t>VanEck FRN</w:t>
            </w:r>
          </w:p>
        </w:tc>
        <w:tc>
          <w:tcPr>
            <w:tcW w:type="dxa" w:w="1417"/>
          </w:tcPr>
          <w:p>
            <w:r>
              <w:t>5.28</w:t>
            </w:r>
          </w:p>
        </w:tc>
        <w:tc>
          <w:tcPr>
            <w:tcW w:type="dxa" w:w="1417"/>
          </w:tcPr>
          <w:p>
            <w:r>
              <w:t>5.21</w:t>
            </w:r>
          </w:p>
        </w:tc>
      </w:tr>
      <w:tr>
        <w:tc>
          <w:tcPr>
            <w:tcW w:type="dxa" w:w="2268"/>
          </w:tcPr>
          <w:p>
            <w:r>
              <w:t>iShares Enh Cash</w:t>
            </w:r>
          </w:p>
        </w:tc>
        <w:tc>
          <w:tcPr>
            <w:tcW w:type="dxa" w:w="1417"/>
          </w:tcPr>
          <w:p>
            <w:r>
              <w:t>4.46</w:t>
            </w:r>
          </w:p>
        </w:tc>
        <w:tc>
          <w:tcPr>
            <w:tcW w:type="dxa" w:w="1417"/>
          </w:tcPr>
          <w:p>
            <w:r>
              <w:t>4.53</w:t>
            </w:r>
          </w:p>
        </w:tc>
      </w:tr>
      <w:tr>
        <w:tc>
          <w:tcPr>
            <w:tcW w:type="dxa" w:w="2268"/>
          </w:tcPr>
          <w:p>
            <w:r>
              <w:t>Janus Div Credit</w:t>
            </w:r>
          </w:p>
        </w:tc>
        <w:tc>
          <w:tcPr>
            <w:tcW w:type="dxa" w:w="1417"/>
          </w:tcPr>
          <w:p>
            <w:r>
              <w:t>6.81</w:t>
            </w:r>
          </w:p>
        </w:tc>
        <w:tc>
          <w:tcPr>
            <w:tcW w:type="dxa" w:w="1417"/>
          </w:tcPr>
          <w:p>
            <w:r>
              <w:t>7.04</w:t>
            </w:r>
          </w:p>
        </w:tc>
      </w:tr>
      <w:tr>
        <w:tc>
          <w:tcPr>
            <w:tcW w:type="dxa" w:w="2268"/>
          </w:tcPr>
          <w:p>
            <w:r>
              <w:t>Daintree Core Inc</w:t>
            </w:r>
          </w:p>
        </w:tc>
        <w:tc>
          <w:tcPr>
            <w:tcW w:type="dxa" w:w="1417"/>
          </w:tcPr>
          <w:p>
            <w:r>
              <w:t>6.07</w:t>
            </w:r>
          </w:p>
        </w:tc>
        <w:tc>
          <w:tcPr>
            <w:tcW w:type="dxa" w:w="1417"/>
          </w:tcPr>
          <w:p>
            <w:r>
              <w:t>7.26</w:t>
            </w:r>
          </w:p>
        </w:tc>
      </w:tr>
      <w:tr>
        <w:tc>
          <w:tcPr>
            <w:tcW w:type="dxa" w:w="2268"/>
          </w:tcPr>
          <w:p>
            <w:r>
              <w:t>Bentham Global Inc</w:t>
            </w:r>
          </w:p>
        </w:tc>
        <w:tc>
          <w:tcPr>
            <w:tcW w:type="dxa" w:w="1417"/>
          </w:tcPr>
          <w:p>
            <w:r>
              <w:t>2.74</w:t>
            </w:r>
          </w:p>
        </w:tc>
        <w:tc>
          <w:tcPr>
            <w:tcW w:type="dxa" w:w="1417"/>
          </w:tcPr>
          <w:p>
            <w:r>
              <w:t>6.79</w:t>
            </w:r>
          </w:p>
        </w:tc>
      </w:tr>
      <w:tr>
        <w:tc>
          <w:tcPr>
            <w:tcW w:type="dxa" w:w="2268"/>
          </w:tcPr>
          <w:p>
            <w:r>
              <w:rPr>
                <w:b/>
              </w:rPr>
              <w:t>BM: Floating</w:t>
            </w:r>
          </w:p>
        </w:tc>
        <w:tc>
          <w:tcPr>
            <w:tcW w:type="dxa" w:w="1417"/>
          </w:tcPr>
          <w:p>
            <w:r>
              <w:rPr>
                <w:b/>
              </w:rPr>
              <w:t>5.05</w:t>
            </w:r>
          </w:p>
        </w:tc>
        <w:tc>
          <w:tcPr>
            <w:tcW w:type="dxa" w:w="1417"/>
          </w:tcPr>
          <w:p>
            <w:r>
              <w:rPr>
                <w:b/>
              </w:rPr>
              <w:t>5.21</w:t>
            </w:r>
          </w:p>
        </w:tc>
      </w:tr>
      <w:tr>
        <w:tc>
          <w:tcPr>
            <w:tcW w:type="dxa" w:w="2268"/>
          </w:tcPr>
          <w:p>
            <w:r>
              <w:t>iShares Cash</w:t>
            </w:r>
          </w:p>
        </w:tc>
        <w:tc>
          <w:tcPr>
            <w:tcW w:type="dxa" w:w="1417"/>
          </w:tcPr>
          <w:p>
            <w:r>
              <w:t>4.35</w:t>
            </w:r>
          </w:p>
        </w:tc>
        <w:tc>
          <w:tcPr>
            <w:tcW w:type="dxa" w:w="1417"/>
          </w:tcPr>
          <w:p>
            <w:r>
              <w:t>4.41</w:t>
            </w:r>
          </w:p>
        </w:tc>
      </w:tr>
      <w:tr>
        <w:tc>
          <w:tcPr>
            <w:tcW w:type="dxa" w:w="2268"/>
          </w:tcPr>
          <w:p>
            <w:r>
              <w:t>Cash</w:t>
            </w:r>
          </w:p>
        </w:tc>
        <w:tc>
          <w:tcPr>
            <w:tcW w:type="dxa" w:w="1417"/>
          </w:tcPr>
          <w:p>
            <w:r>
              <w:t>4.34</w:t>
            </w:r>
          </w:p>
        </w:tc>
        <w:tc>
          <w:tcPr>
            <w:tcW w:type="dxa" w:w="1417"/>
          </w:tcPr>
          <w:p>
            <w:r>
              <w:t>4.42</w:t>
            </w:r>
          </w:p>
        </w:tc>
      </w:tr>
    </w:tbl>
    <w:p>
      <w:pPr>
        <w:pStyle w:val="Note"/>
      </w:pPr>
      <w:r>
        <w:t>Inception Date: 31 December 2022</w:t>
      </w:r>
    </w:p>
    <w:p>
      <w:pPr>
        <w:pStyle w:val="BodyStyle"/>
      </w:pPr>
      <w:r>
        <w:t>Underlying investment manager returns are shown after fees and before tax</w:t>
      </w:r>
    </w:p>
    <w:br w:type="column"/>
    <w:p>
      <w:pPr>
        <w:pStyle w:val="Heading20"/>
      </w:pPr>
      <w:r>
        <w:t>Market Update</w:t>
      </w:r>
    </w:p>
    <w:p>
      <w:pPr>
        <w:pStyle w:val="BodyStyle"/>
      </w:pPr>
      <w:r>
        <w:t>August delivered broad gains across global equities and bonds, driven by actual and expected rate cuts.</w:t>
        <w:br/>
        <w:br/>
        <w:t>9 of 11 S&amp;P/ASX 200 sectors advanced, with Materials and Consumer Discretionary leading gains. Meanwhile Health Care fell 13% due to a CSL sell-off following its spinoff announcement. Information Technology remained under pressure.</w:t>
        <w:br/>
        <w:br/>
        <w:t>Value, Equal Weight, and High Dividend each rose 6%. Growth lagged as the weakest performer year-to-date.</w:t>
        <w:br/>
        <w:br/>
        <w:t>Chinese equities outperformed, as onshore markets rebounded and narrowed the gap with offshore stocks.</w:t>
        <w:br/>
        <w:br/>
        <w:t>U.S. equities recorded a fourth consecutive month of gains, with the S&amp;P 500 rising 2% in August, despite a sharp final-day sell-off. Market sentiment was supported by optimism around potential Federal Reserve rate cuts and continued strength in Big Tech.</w:t>
        <w:br/>
        <w:br/>
        <w:t>The rally broadened across market segments, with mid- and small-cap stocks outperforming large caps.</w:t>
        <w:br/>
        <w:br/>
        <w:t>Most sectors posted positive returns, led by Materials and Health Care; Health Care recovered losses from July. Utilities was the only sector to decline.</w:t>
        <w:br/>
        <w:br/>
        <w:t>European equities gained for the month, extending their positive run for the quarter. Sector leaders were Health Care (+4%+) and Consumer Staples (+3%+). Information Technology, Utilities, and Industrials posted modest losses of under 2%, not enough to offset the index’s overall gains.</w:t>
        <w:br/>
        <w:br/>
        <w:t>US fixed income indices all posted gains amid fluctuating yields and shifting rate expectations.</w:t>
        <w:br/>
        <w:br/>
        <w:t>The Reserve Bank of Australia and Reserve Bank of New Zealand each reduced key rates by 25bps..</w:t>
        <w:br/>
        <w:br/>
        <w:t>Commodities participated in the rally, led by Livestock. Precious Metals strengthened, with Gold reaching another record high, driven by renewed safe-haven demand.</w:t>
        <w:br/>
        <w:br/>
      </w:r>
    </w:p>
    <w:p>
      <w:pPr>
        <w:pStyle w:val="Heading20"/>
      </w:pPr>
      <w:r>
        <w:t>Fine Print</w:t>
      </w:r>
    </w:p>
    <w:p>
      <w:pPr>
        <w:pStyle w:val="Note"/>
      </w:pPr>
      <w:r>
        <w:t>Important Notice: This document is published by TAG Asset Consulting Group Pty Ltd, trading as Atchison Consultants, ABN 58 097 703 047, AFSL 230 846. Atchison Consultants distributes its investment solutions via platform and dealer groups (financial advisory groups).</w:t>
      </w:r>
    </w:p>
    <w:p>
      <w:pPr>
        <w:pStyle w:val="Note"/>
      </w:pPr>
    </w:p>
    <w:p>
      <w:pPr>
        <w:pStyle w:val="Note"/>
      </w:pPr>
      <w:r>
        <w:t>Warning: Please be advised that past performance is not indicative of future performance. The returns discussed herein are based on model asset allocations and are for illustrative purposes only. Actual returns may differ due to variations in fees, timing of model change implementation, and the need to substitute individual holdings where reliable data was not available from our data providers. Any insights or recommendations provided in this document are intended for general advice purposes only and are based on our opinion of the investment merits of the financial products discussed, independent of the financial circumstances of any individual. Before proceeding with any investment based on the information provided, recipients must assess its suitability to their financial situation and consider seeking advice from an independent financial advisor.</w:t>
      </w:r>
    </w:p>
    <w:p>
      <w:pPr>
        <w:pStyle w:val="Note"/>
      </w:pPr>
    </w:p>
    <w:p>
      <w:pPr>
        <w:pStyle w:val="Note"/>
      </w:pPr>
      <w:r>
        <w:t>Disclaimer: While care is taken to ensure the accuracy and completeness of the information presented herein, no warranties or representations are made as to its reliability. The content provided is derived from publicly available sources, or external data providers, which have not been independently verified by Atchison Consultants. Atchison Consultants, along with its directors, officers, employees, and agents, expressly disclaims any liability for errors, inaccuracies, or omissions in this document, as well as for any loss or damage that may arise from reliance on its contents. Readers are cautioned to verify all information independently before taking any actions based on this report.</w:t>
      </w:r>
    </w:p>
    <w:sectPr w:rsidR="005E14BC" w:rsidRPr="001C33C8" w:rsidSect="000C01EB">
      <w:type w:val="continuous"/>
      <w:pgSz w:w="11900" w:h="16840" w:code="9"/>
      <w:pgMar w:top="0" w:right="420" w:bottom="0" w:left="425" w:header="0" w:footer="726" w:gutter="0"/>
      <w:docGrid w:linePitch="360"/>
      <w:cols w:num="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D4F110" w14:textId="77777777" w:rsidR="00EC1404" w:rsidRDefault="00EC1404" w:rsidP="007B4373">
      <w:r>
        <w:separator/>
      </w:r>
    </w:p>
  </w:endnote>
  <w:endnote w:type="continuationSeparator" w:id="0">
    <w:p w14:paraId="7A11A369" w14:textId="77777777" w:rsidR="00EC1404" w:rsidRDefault="00EC1404" w:rsidP="007B43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 New Roman (Body CS)">
    <w:altName w:val="Times New Roman"/>
    <w:charset w:val="00"/>
    <w:family w:val="roman"/>
    <w:pitch w:val="default"/>
  </w:font>
  <w:font w:name="Times New Roman (Headings CS)">
    <w:altName w:val="Calibri"/>
    <w:charset w:val="00"/>
    <w:family w:val="roman"/>
    <w:pitch w:val="default"/>
  </w:font>
  <w:font w:name="Minion Pro">
    <w:altName w:val="Cambria"/>
    <w:panose1 w:val="00000000000000000000"/>
    <w:charset w:val="00"/>
    <w:family w:val="roman"/>
    <w:notTrueType/>
    <w:pitch w:val="variable"/>
    <w:sig w:usb0="60000287" w:usb1="00000001" w:usb2="00000000" w:usb3="00000000" w:csb0="0000019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0173BF" w14:textId="77777777" w:rsidR="005B64E3" w:rsidRDefault="005B64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FF5D51" w14:textId="48599FFE" w:rsidR="0057386D" w:rsidRDefault="00DF12F7" w:rsidP="002F4B28">
    <w:pPr>
      <w:pStyle w:val="Footer"/>
      <w:tabs>
        <w:tab w:val="clear" w:pos="4513"/>
        <w:tab w:val="clear" w:pos="9026"/>
      </w:tabs>
    </w:pPr>
    <w:r>
      <w:rPr>
        <w:noProof/>
      </w:rPr>
      <mc:AlternateContent>
        <mc:Choice Requires="wps">
          <w:drawing>
            <wp:anchor distT="4294967286" distB="4294967286" distL="114300" distR="114300" simplePos="0" relativeHeight="251649536" behindDoc="0" locked="0" layoutInCell="1" allowOverlap="1" wp14:anchorId="51235B58" wp14:editId="53366E12">
              <wp:simplePos x="0" y="0"/>
              <wp:positionH relativeFrom="margin">
                <wp:posOffset>0</wp:posOffset>
              </wp:positionH>
              <wp:positionV relativeFrom="page">
                <wp:posOffset>10124440</wp:posOffset>
              </wp:positionV>
              <wp:extent cx="6934200" cy="0"/>
              <wp:effectExtent l="0" t="0" r="0" b="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934200" cy="0"/>
                      </a:xfrm>
                      <a:prstGeom prst="line">
                        <a:avLst/>
                      </a:prstGeom>
                      <a:noFill/>
                      <a:ln w="6350" cap="flat" cmpd="sng" algn="ctr">
                        <a:solidFill>
                          <a:srgbClr val="3D545E"/>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7C66C28D" id="Straight Connector 9" o:spid="_x0000_s1026" style="position:absolute;flip:y;z-index:251649536;visibility:visible;mso-wrap-style:square;mso-width-percent:0;mso-height-percent:0;mso-wrap-distance-left:9pt;mso-wrap-distance-top:-28e-5mm;mso-wrap-distance-right:9pt;mso-wrap-distance-bottom:-28e-5mm;mso-position-horizontal:absolute;mso-position-horizontal-relative:margin;mso-position-vertical:absolute;mso-position-vertical-relative:page;mso-width-percent:0;mso-height-percent:0;mso-width-relative:page;mso-height-relative:page" from="0,797.2pt" to="546pt,79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" strokecolor="#3d545e" strokeweight=".5pt">
              <v:stroke joinstyle="miter"/>
              <o:lock v:ext="edit" shapetype="f"/>
              <w10:wrap anchorx="margin" anchory="page"/>
            </v:line>
          </w:pict>
        </mc:Fallback>
      </mc:AlternateContent>
    </w:r>
    <w:r>
      <w:rPr>
        <w:noProof/>
      </w:rPr>
      <mc:AlternateContent>
        <mc:Choice Requires="wps">
          <w:drawing>
            <wp:anchor distT="0" distB="0" distL="114300" distR="114300" simplePos="0" relativeHeight="251654656" behindDoc="0" locked="0" layoutInCell="1" allowOverlap="1" wp14:anchorId="2E8614D7" wp14:editId="315BA938">
              <wp:simplePos x="0" y="0"/>
              <wp:positionH relativeFrom="column">
                <wp:posOffset>6587490</wp:posOffset>
              </wp:positionH>
              <wp:positionV relativeFrom="page">
                <wp:posOffset>10172700</wp:posOffset>
              </wp:positionV>
              <wp:extent cx="190500" cy="248285"/>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flipH="1">
                        <a:off x="0" y="0"/>
                        <a:ext cx="190500" cy="248285"/>
                      </a:xfrm>
                      <a:prstGeom prst="rect">
                        <a:avLst/>
                      </a:prstGeom>
                      <a:noFill/>
                      <a:ln w="6350">
                        <a:noFill/>
                      </a:ln>
                    </wps:spPr>
                    <wps:txbx>
                      <w:txbxContent>
                        <w:p w14:paraId="0FEDE27F" w14:textId="1F7951EA" w:rsidR="001D6606" w:rsidRPr="00FD10ED" w:rsidRDefault="001D6606"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8614D7" id="_x0000_t202" coordsize="21600,21600" o:spt="202" path="m,l,21600r21600,l21600,xe">
              <v:stroke joinstyle="miter"/>
              <v:path gradientshapeok="t" o:connecttype="rect"/>
            </v:shapetype>
            <v:shape id="Text Box 11" o:spid="_x0000_s1026" type="#_x0000_t202" style="position:absolute;margin-left:518.7pt;margin-top:801pt;width:15pt;height:19.55pt;flip:x;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" filled="f" stroked="f" strokeweight=".5pt">
              <v:textbox inset="0,0,0,0">
                <w:txbxContent>
                  <w:p w14:paraId="0FEDE27F" w14:textId="1F7951EA" w:rsidR="001D6606" w:rsidRPr="00FD10ED" w:rsidRDefault="001D6606"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v:textbox>
              <w10:wrap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3810C9" w14:textId="2B309A7B" w:rsidR="005F6BD8" w:rsidRDefault="002976D3" w:rsidP="00E916A2">
    <w:pPr>
      <w:pStyle w:val="Footer"/>
      <w:tabs>
        <w:tab w:val="clear" w:pos="9026"/>
      </w:tabs>
    </w:pPr>
    <w:r>
      <w:rPr>
        <w:noProof/>
      </w:rPr>
      <mc:AlternateContent>
        <mc:Choice Requires="wps">
          <w:drawing>
            <wp:anchor distT="4294967286" distB="4294967286" distL="114300" distR="114300" simplePos="0" relativeHeight="251719168" behindDoc="0" locked="0" layoutInCell="1" allowOverlap="1" wp14:anchorId="4DF33864" wp14:editId="627120AF">
              <wp:simplePos x="0" y="0"/>
              <wp:positionH relativeFrom="margin">
                <wp:posOffset>0</wp:posOffset>
              </wp:positionH>
              <wp:positionV relativeFrom="page">
                <wp:posOffset>10095865</wp:posOffset>
              </wp:positionV>
              <wp:extent cx="6800850" cy="9525"/>
              <wp:effectExtent l="0" t="0" r="19050" b="2857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00850" cy="9525"/>
                      </a:xfrm>
                      <a:prstGeom prst="line">
                        <a:avLst/>
                      </a:prstGeom>
                      <a:noFill/>
                      <a:ln w="6350" cap="flat" cmpd="sng" algn="ctr">
                        <a:solidFill>
                          <a:srgbClr val="3D545E"/>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7B234CCC" id="Straight Connector 4" o:spid="_x0000_s1026" style="position:absolute;z-index:251719168;visibility:visible;mso-wrap-style:square;mso-width-percent:0;mso-height-percent:0;mso-wrap-distance-left:9pt;mso-wrap-distance-top:-28e-5mm;mso-wrap-distance-right:9pt;mso-wrap-distance-bottom:-28e-5mm;mso-position-horizontal:absolute;mso-position-horizontal-relative:margin;mso-position-vertical:absolute;mso-position-vertical-relative:page;mso-width-percent:0;mso-height-percent:0;mso-width-relative:page;mso-height-relative:page" from="0,794.95pt" to="535.5pt,79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" strokecolor="#3d545e" strokeweight=".5pt">
              <v:stroke joinstyle="miter"/>
              <o:lock v:ext="edit" shapetype="f"/>
              <w10:wrap anchorx="margin" anchory="page"/>
            </v:line>
          </w:pict>
        </mc:Fallback>
      </mc:AlternateContent>
    </w:r>
    <w:r>
      <w:rPr>
        <w:noProof/>
      </w:rPr>
      <mc:AlternateContent>
        <mc:Choice Requires="wps">
          <w:drawing>
            <wp:anchor distT="0" distB="0" distL="114300" distR="114300" simplePos="0" relativeHeight="251720192" behindDoc="0" locked="0" layoutInCell="1" allowOverlap="1" wp14:anchorId="49980B01" wp14:editId="02A3271F">
              <wp:simplePos x="0" y="0"/>
              <wp:positionH relativeFrom="column">
                <wp:posOffset>5968365</wp:posOffset>
              </wp:positionH>
              <wp:positionV relativeFrom="page">
                <wp:posOffset>10187305</wp:posOffset>
              </wp:positionV>
              <wp:extent cx="788670" cy="248285"/>
              <wp:effectExtent l="0" t="0" r="1143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flipH="1">
                        <a:off x="0" y="0"/>
                        <a:ext cx="788670" cy="248285"/>
                      </a:xfrm>
                      <a:prstGeom prst="rect">
                        <a:avLst/>
                      </a:prstGeom>
                      <a:noFill/>
                      <a:ln w="6350">
                        <a:noFill/>
                      </a:ln>
                    </wps:spPr>
                    <wps:txbx>
                      <w:txbxContent>
                        <w:p w14:paraId="0B8E0280" w14:textId="77777777" w:rsidR="005F6BD8" w:rsidRPr="00FD10ED" w:rsidRDefault="005F6BD8"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980B01" id="_x0000_t202" coordsize="21600,21600" o:spt="202" path="m,l,21600r21600,l21600,xe">
              <v:stroke joinstyle="miter"/>
              <v:path gradientshapeok="t" o:connecttype="rect"/>
            </v:shapetype>
            <v:shape id="Text Box 8" o:spid="_x0000_s1027" type="#_x0000_t202" style="position:absolute;margin-left:469.95pt;margin-top:802.15pt;width:62.1pt;height:19.55pt;flip:x;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" filled="f" stroked="f" strokeweight=".5pt">
              <v:textbox inset="0,0,0,0">
                <w:txbxContent>
                  <w:p w14:paraId="0B8E0280" w14:textId="77777777" w:rsidR="005F6BD8" w:rsidRPr="00FD10ED" w:rsidRDefault="005F6BD8"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v:textbox>
              <w10:wrap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3AD7EB" w14:textId="77777777" w:rsidR="00EC1404" w:rsidRDefault="00EC1404" w:rsidP="007B4373">
      <w:r>
        <w:separator/>
      </w:r>
    </w:p>
  </w:footnote>
  <w:footnote w:type="continuationSeparator" w:id="0">
    <w:p w14:paraId="32251D29" w14:textId="77777777" w:rsidR="00EC1404" w:rsidRDefault="00EC1404" w:rsidP="007B43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EEB7E6" w14:textId="77777777" w:rsidR="005B64E3" w:rsidRDefault="005B64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97603A" w14:textId="77777777" w:rsidR="005B64E3" w:rsidRDefault="005B64E3">
    <w:pPr>
      <w:rPr>
        <w:sz w:val="36"/>
        <w:szCs w:val="32"/>
      </w:rPr>
    </w:pPr>
  </w:p>
  <w:p w14:paraId="1A2E350C" w14:textId="724ED1AC" w:rsidR="001C33C8" w:rsidRDefault="00844973">
    <w:r w:rsidRPr="005A6718">
      <w:rPr>
        <w:b/>
        <w:bCs/>
        <w:noProof/>
      </w:rPr>
      <w:drawing>
        <wp:anchor distT="0" distB="288290" distL="0" distR="0" simplePos="0" relativeHeight="251724288" behindDoc="1" locked="0" layoutInCell="1" allowOverlap="1" wp14:anchorId="46544061" wp14:editId="2A81C8E8">
          <wp:simplePos x="0" y="0"/>
          <wp:positionH relativeFrom="page">
            <wp:posOffset>0</wp:posOffset>
          </wp:positionH>
          <wp:positionV relativeFrom="page">
            <wp:posOffset>-76200</wp:posOffset>
          </wp:positionV>
          <wp:extent cx="7559675" cy="1702435"/>
          <wp:effectExtent l="0" t="0" r="3175" b="0"/>
          <wp:wrapNone/>
          <wp:docPr id="7073760" name="Picture 10" descr="A screenshot of a video gam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A screenshot of a video game&#10;&#10;Description automatically generated"/>
                  <pic:cNvPicPr>
                    <a:picLocks/>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559675" cy="17024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BB94FC" w14:textId="77777777" w:rsidR="001C33C8" w:rsidRDefault="001C33C8"/>
  <w:p w14:paraId="4DCA8871" w14:textId="77777777" w:rsidR="001C33C8" w:rsidRDefault="001C33C8"/>
  <w:p w14:paraId="7664C6BC" w14:textId="77777777" w:rsidR="001C33C8" w:rsidRDefault="001C33C8"/>
  <w:p w14:paraId="28C28B14" w14:textId="77777777" w:rsidR="001C33C8" w:rsidRDefault="001C33C8"/>
  <w:p w14:paraId="1F390310" w14:textId="77777777" w:rsidR="001C33C8" w:rsidRDefault="001C33C8"/>
  <w:p w14:paraId="06CE26D7" w14:textId="77777777" w:rsidR="001C33C8" w:rsidRDefault="001C33C8"/>
  <w:p w14:paraId="0ACFE8D4" w14:textId="77777777" w:rsidR="001C33C8" w:rsidRDefault="001C33C8"/>
  <w:p w14:paraId="2DC183F1" w14:textId="77777777" w:rsidR="001C33C8" w:rsidRDefault="001C33C8"/>
  <w:p w14:paraId="35035C8C" w14:textId="093754A3" w:rsidR="00D67117" w:rsidRDefault="00D6711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4DC8A3" w14:textId="5A16BAAD" w:rsidR="00E916A2" w:rsidRDefault="00E916A2">
    <w:pPr>
      <w:pStyle w:val="Header"/>
    </w:pPr>
    <w:r w:rsidRPr="005A6718">
      <w:rPr>
        <w:b/>
        <w:bCs/>
        <w:noProof/>
      </w:rPr>
      <w:drawing>
        <wp:anchor distT="0" distB="288290" distL="0" distR="0" simplePos="0" relativeHeight="251722240" behindDoc="1" locked="0" layoutInCell="1" allowOverlap="1" wp14:anchorId="35047829" wp14:editId="02859780">
          <wp:simplePos x="0" y="0"/>
          <wp:positionH relativeFrom="page">
            <wp:align>left</wp:align>
          </wp:positionH>
          <wp:positionV relativeFrom="page">
            <wp:posOffset>-104775</wp:posOffset>
          </wp:positionV>
          <wp:extent cx="7560000" cy="1702800"/>
          <wp:effectExtent l="0" t="0" r="3175" b="0"/>
          <wp:wrapNone/>
          <wp:docPr id="1184967208" name="Picture 10" descr="A screenshot of a video gam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A screenshot of a video game&#10;&#10;Description automatically generated"/>
                  <pic:cNvPicPr>
                    <a:picLocks/>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560000" cy="17028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F"/>
    <w:multiLevelType w:val="singleLevel"/>
    <w:tmpl w:val="6A72235A"/>
    <w:lvl w:ilvl="0">
      <w:start w:val="1"/>
      <w:numFmt w:val="decimal"/>
      <w:lvlText w:val="%1."/>
      <w:lvlJc w:val="left"/>
      <w:pPr>
        <w:tabs>
          <w:tab w:val="num" w:pos="643"/>
        </w:tabs>
        <w:ind w:left="643" w:hanging="360"/>
      </w:pPr>
    </w:lvl>
  </w:abstractNum>
  <w:abstractNum w:abstractNumId="1" w15:restartNumberingAfterBreak="0">
    <w:nsid w:val="FFFFFF88"/>
    <w:multiLevelType w:val="singleLevel"/>
    <w:tmpl w:val="79FAF890"/>
    <w:lvl w:ilvl="0">
      <w:start w:val="1"/>
      <w:numFmt w:val="decimal"/>
      <w:pStyle w:val="ListNumber"/>
      <w:lvlText w:val="%1."/>
      <w:lvlJc w:val="left"/>
      <w:pPr>
        <w:tabs>
          <w:tab w:val="num" w:pos="360"/>
        </w:tabs>
        <w:ind w:left="360" w:hanging="360"/>
      </w:pPr>
    </w:lvl>
  </w:abstractNum>
  <w:abstractNum w:abstractNumId="2" w15:restartNumberingAfterBreak="0">
    <w:nsid w:val="FFFFFF89"/>
    <w:multiLevelType w:val="singleLevel"/>
    <w:tmpl w:val="24B24AFC"/>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1BE05D8"/>
    <w:multiLevelType w:val="hybridMultilevel"/>
    <w:tmpl w:val="FA2030A4"/>
    <w:lvl w:ilvl="0" w:tplc="47B0A722">
      <w:start w:val="1"/>
      <w:numFmt w:val="bullet"/>
      <w:lvlText w:val=""/>
      <w:lvlJc w:val="left"/>
      <w:pPr>
        <w:ind w:left="720" w:hanging="360"/>
      </w:pPr>
      <w:rPr>
        <w:rFonts w:ascii="Wingdings" w:hAnsi="Wingdings" w:hint="default"/>
        <w:color w:val="92F105" w:themeColor="accent1"/>
        <w:u w:color="8A999D" w:themeColor="accent3"/>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4240D32"/>
    <w:multiLevelType w:val="multilevel"/>
    <w:tmpl w:val="B890E930"/>
    <w:styleLink w:val="CurrentList2"/>
    <w:lvl w:ilvl="0">
      <w:start w:val="1"/>
      <w:numFmt w:val="bullet"/>
      <w:lvlText w:val=""/>
      <w:lvlJc w:val="left"/>
      <w:pPr>
        <w:ind w:left="567" w:hanging="283"/>
      </w:pPr>
      <w:rPr>
        <w:rFonts w:ascii="Wingdings" w:hAnsi="Wingdings" w:hint="default"/>
        <w:color w:val="006699"/>
      </w:rPr>
    </w:lvl>
    <w:lvl w:ilvl="1">
      <w:start w:val="1"/>
      <w:numFmt w:val="bullet"/>
      <w:lvlText w:val=""/>
      <w:lvlJc w:val="left"/>
      <w:pPr>
        <w:ind w:left="1004" w:hanging="360"/>
      </w:pPr>
      <w:rPr>
        <w:rFonts w:ascii="Wingdings 2" w:hAnsi="Wingdings 2" w:hint="default"/>
        <w:color w:val="006699"/>
      </w:rPr>
    </w:lvl>
    <w:lvl w:ilvl="2">
      <w:start w:val="1"/>
      <w:numFmt w:val="bullet"/>
      <w:lvlText w:val="o"/>
      <w:lvlJc w:val="left"/>
      <w:pPr>
        <w:ind w:left="1364" w:hanging="360"/>
      </w:pPr>
      <w:rPr>
        <w:rFonts w:ascii="Courier New" w:hAnsi="Courier New" w:cs="Courier New" w:hint="default"/>
        <w:color w:val="006699"/>
      </w:rPr>
    </w:lvl>
    <w:lvl w:ilvl="3">
      <w:start w:val="1"/>
      <w:numFmt w:val="bullet"/>
      <w:lvlText w:val=""/>
      <w:lvlJc w:val="left"/>
      <w:pPr>
        <w:ind w:left="1724" w:hanging="360"/>
      </w:pPr>
      <w:rPr>
        <w:rFonts w:ascii="Symbol" w:hAnsi="Symbol" w:hint="default"/>
      </w:rPr>
    </w:lvl>
    <w:lvl w:ilvl="4">
      <w:start w:val="1"/>
      <w:numFmt w:val="bullet"/>
      <w:lvlText w:val=""/>
      <w:lvlJc w:val="left"/>
      <w:pPr>
        <w:ind w:left="2084" w:hanging="360"/>
      </w:pPr>
      <w:rPr>
        <w:rFonts w:ascii="Symbol" w:hAnsi="Symbol" w:hint="default"/>
      </w:rPr>
    </w:lvl>
    <w:lvl w:ilvl="5">
      <w:start w:val="1"/>
      <w:numFmt w:val="bullet"/>
      <w:lvlText w:val=""/>
      <w:lvlJc w:val="left"/>
      <w:pPr>
        <w:ind w:left="2444" w:hanging="360"/>
      </w:pPr>
      <w:rPr>
        <w:rFonts w:ascii="Wingdings" w:hAnsi="Wingdings" w:hint="default"/>
      </w:rPr>
    </w:lvl>
    <w:lvl w:ilvl="6">
      <w:start w:val="1"/>
      <w:numFmt w:val="bullet"/>
      <w:lvlText w:val=""/>
      <w:lvlJc w:val="left"/>
      <w:pPr>
        <w:ind w:left="2804" w:hanging="360"/>
      </w:pPr>
      <w:rPr>
        <w:rFonts w:ascii="Wingdings" w:hAnsi="Wingdings" w:hint="default"/>
      </w:rPr>
    </w:lvl>
    <w:lvl w:ilvl="7">
      <w:start w:val="1"/>
      <w:numFmt w:val="bullet"/>
      <w:lvlText w:val=""/>
      <w:lvlJc w:val="left"/>
      <w:pPr>
        <w:ind w:left="3164" w:hanging="360"/>
      </w:pPr>
      <w:rPr>
        <w:rFonts w:ascii="Symbol" w:hAnsi="Symbol" w:hint="default"/>
      </w:rPr>
    </w:lvl>
    <w:lvl w:ilvl="8">
      <w:start w:val="1"/>
      <w:numFmt w:val="bullet"/>
      <w:lvlText w:val=""/>
      <w:lvlJc w:val="left"/>
      <w:pPr>
        <w:ind w:left="3524" w:hanging="360"/>
      </w:pPr>
      <w:rPr>
        <w:rFonts w:ascii="Symbol" w:hAnsi="Symbol" w:hint="default"/>
      </w:rPr>
    </w:lvl>
  </w:abstractNum>
  <w:abstractNum w:abstractNumId="5" w15:restartNumberingAfterBreak="0">
    <w:nsid w:val="0588625A"/>
    <w:multiLevelType w:val="hybridMultilevel"/>
    <w:tmpl w:val="C90A35D2"/>
    <w:lvl w:ilvl="0" w:tplc="D298C35E">
      <w:start w:val="1"/>
      <w:numFmt w:val="bullet"/>
      <w:lvlText w:val=""/>
      <w:lvlJc w:val="left"/>
      <w:pPr>
        <w:ind w:left="720" w:hanging="360"/>
      </w:pPr>
      <w:rPr>
        <w:rFonts w:ascii="Symbol" w:hAnsi="Symbol" w:hint="default"/>
        <w:color w:val="79BB42"/>
        <w:sz w:val="16"/>
        <w:u w:color="8A999D"/>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6E23B80"/>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7" w15:restartNumberingAfterBreak="0">
    <w:nsid w:val="0B63749C"/>
    <w:multiLevelType w:val="multilevel"/>
    <w:tmpl w:val="C3D8B4C2"/>
    <w:styleLink w:val="CurrentList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12BC6724"/>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15B16B16"/>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0" w15:restartNumberingAfterBreak="0">
    <w:nsid w:val="1B565D5A"/>
    <w:multiLevelType w:val="hybridMultilevel"/>
    <w:tmpl w:val="ACB058F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1C0A70C6"/>
    <w:multiLevelType w:val="multilevel"/>
    <w:tmpl w:val="12D4C4DA"/>
    <w:styleLink w:val="AtchisonStyle"/>
    <w:lvl w:ilvl="0">
      <w:start w:val="1"/>
      <w:numFmt w:val="decimal"/>
      <w:lvlText w:val="%1."/>
      <w:lvlJc w:val="left"/>
      <w:pPr>
        <w:ind w:left="357" w:hanging="357"/>
      </w:pPr>
      <w:rPr>
        <w:rFonts w:ascii="Calibri" w:hAnsi="Calibri" w:hint="default"/>
        <w:b/>
        <w:i w:val="0"/>
        <w:color w:val="006699"/>
        <w:sz w:val="28"/>
      </w:rPr>
    </w:lvl>
    <w:lvl w:ilvl="1">
      <w:start w:val="1"/>
      <w:numFmt w:val="decimal"/>
      <w:lvlText w:val="%1.%2"/>
      <w:lvlJc w:val="left"/>
      <w:pPr>
        <w:tabs>
          <w:tab w:val="num" w:pos="720"/>
        </w:tabs>
        <w:ind w:left="0" w:firstLine="720"/>
      </w:pPr>
      <w:rPr>
        <w:rFonts w:ascii="Calibri" w:hAnsi="Calibri" w:hint="default"/>
        <w:b/>
        <w:i w:val="0"/>
        <w:color w:val="006699"/>
      </w:rPr>
    </w:lvl>
    <w:lvl w:ilvl="2">
      <w:start w:val="1"/>
      <w:numFmt w:val="decimal"/>
      <w:lvlText w:val="%1.%2.%3"/>
      <w:lvlJc w:val="left"/>
      <w:rPr>
        <w:rFonts w:ascii="Cambria" w:hAnsi="Cambria" w:hint="default"/>
        <w:color w:val="608493"/>
      </w:rPr>
    </w:lvl>
    <w:lvl w:ilvl="3">
      <w:start w:val="1"/>
      <w:numFmt w:val="lowerRoman"/>
      <w:lvlText w:val="(%4)"/>
      <w:lvlJc w:val="left"/>
      <w:pPr>
        <w:tabs>
          <w:tab w:val="num" w:pos="1077"/>
        </w:tabs>
        <w:ind w:left="1440" w:hanging="363"/>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1CAD58E3"/>
    <w:multiLevelType w:val="multilevel"/>
    <w:tmpl w:val="59A0A17A"/>
    <w:styleLink w:val="CurrentList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1DE47C6B"/>
    <w:multiLevelType w:val="multilevel"/>
    <w:tmpl w:val="1090D80C"/>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4" w15:restartNumberingAfterBreak="0">
    <w:nsid w:val="229E3A80"/>
    <w:multiLevelType w:val="hybridMultilevel"/>
    <w:tmpl w:val="C9AE95AC"/>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23911B26"/>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6" w15:restartNumberingAfterBreak="0">
    <w:nsid w:val="254049E5"/>
    <w:multiLevelType w:val="multilevel"/>
    <w:tmpl w:val="E480A5D6"/>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7" w15:restartNumberingAfterBreak="0">
    <w:nsid w:val="29E32705"/>
    <w:multiLevelType w:val="hybridMultilevel"/>
    <w:tmpl w:val="4A761E1A"/>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2D171755"/>
    <w:multiLevelType w:val="multilevel"/>
    <w:tmpl w:val="3184FBD8"/>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9" w15:restartNumberingAfterBreak="0">
    <w:nsid w:val="44163AE8"/>
    <w:multiLevelType w:val="multilevel"/>
    <w:tmpl w:val="0809001D"/>
    <w:styleLink w:val="CurrentLi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44413FBF"/>
    <w:multiLevelType w:val="multilevel"/>
    <w:tmpl w:val="D270AEFA"/>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1" w15:restartNumberingAfterBreak="0">
    <w:nsid w:val="44F10A22"/>
    <w:multiLevelType w:val="multilevel"/>
    <w:tmpl w:val="D214C6BC"/>
    <w:lvl w:ilvl="0">
      <w:start w:val="1"/>
      <w:numFmt w:val="bullet"/>
      <w:lvlText w:val=""/>
      <w:lvlJc w:val="left"/>
      <w:pPr>
        <w:ind w:left="720" w:hanging="360"/>
      </w:pPr>
      <w:rPr>
        <w:rFonts w:ascii="Wingdings" w:hAnsi="Wingdings" w:hint="default"/>
        <w:color w:val="63777E" w:themeColor="text2"/>
        <w:sz w:val="22"/>
        <w:u w:color="63777E" w:themeColor="text2"/>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2" w15:restartNumberingAfterBreak="0">
    <w:nsid w:val="46894C4A"/>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3" w15:restartNumberingAfterBreak="0">
    <w:nsid w:val="48274D2E"/>
    <w:multiLevelType w:val="multilevel"/>
    <w:tmpl w:val="83C46682"/>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4" w15:restartNumberingAfterBreak="0">
    <w:nsid w:val="497F5447"/>
    <w:multiLevelType w:val="hybridMultilevel"/>
    <w:tmpl w:val="0F323CE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4BA66303"/>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6" w15:restartNumberingAfterBreak="0">
    <w:nsid w:val="4D1C6941"/>
    <w:multiLevelType w:val="multilevel"/>
    <w:tmpl w:val="73841F9E"/>
    <w:styleLink w:val="CurrentList1"/>
    <w:lvl w:ilvl="0">
      <w:start w:val="1"/>
      <w:numFmt w:val="bullet"/>
      <w:lvlText w:val=""/>
      <w:lvlJc w:val="left"/>
      <w:rPr>
        <w:rFonts w:ascii="Wingdings" w:hAnsi="Wingdings" w:hint="default"/>
        <w:color w:val="79BB42"/>
        <w:u w:color="8A999D"/>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7" w15:restartNumberingAfterBreak="0">
    <w:nsid w:val="4F24687C"/>
    <w:multiLevelType w:val="multilevel"/>
    <w:tmpl w:val="69DEE692"/>
    <w:lvl w:ilvl="0">
      <w:start w:val="1"/>
      <w:numFmt w:val="decimal"/>
      <w:pStyle w:val="Heading1"/>
      <w:lvlText w:val="%1"/>
      <w:lvlJc w:val="left"/>
      <w:pPr>
        <w:ind w:left="851" w:hanging="851"/>
      </w:pPr>
      <w:rPr>
        <w:rFonts w:hint="default"/>
      </w:rPr>
    </w:lvl>
    <w:lvl w:ilvl="1">
      <w:start w:val="1"/>
      <w:numFmt w:val="decimal"/>
      <w:pStyle w:val="Heading2"/>
      <w:lvlText w:val="%1.%2"/>
      <w:lvlJc w:val="left"/>
      <w:pPr>
        <w:ind w:left="851" w:hanging="851"/>
      </w:pPr>
      <w:rPr>
        <w:rFonts w:hint="default"/>
      </w:rPr>
    </w:lvl>
    <w:lvl w:ilvl="2">
      <w:start w:val="1"/>
      <w:numFmt w:val="decimal"/>
      <w:pStyle w:val="Heading3"/>
      <w:lvlText w:val="%1.%2.%3"/>
      <w:lvlJc w:val="left"/>
      <w:pPr>
        <w:ind w:left="851" w:hanging="851"/>
      </w:pPr>
      <w:rPr>
        <w:rFonts w:hint="default"/>
      </w:rPr>
    </w:lvl>
    <w:lvl w:ilvl="3">
      <w:start w:val="1"/>
      <w:numFmt w:val="decimal"/>
      <w:pStyle w:val="Heading4"/>
      <w:lvlText w:val="%1.%2.%3.%4"/>
      <w:lvlJc w:val="left"/>
      <w:pPr>
        <w:ind w:left="851" w:hanging="851"/>
      </w:pPr>
      <w:rPr>
        <w:rFonts w:hint="default"/>
      </w:rPr>
    </w:lvl>
    <w:lvl w:ilvl="4">
      <w:start w:val="1"/>
      <w:numFmt w:val="decimal"/>
      <w:pStyle w:val="Heading5"/>
      <w:lvlText w:val="%1.%2.%3.%4.%5"/>
      <w:lvlJc w:val="left"/>
      <w:pPr>
        <w:ind w:left="851" w:hanging="851"/>
      </w:pPr>
      <w:rPr>
        <w:rFonts w:hint="default"/>
      </w:rPr>
    </w:lvl>
    <w:lvl w:ilvl="5">
      <w:start w:val="1"/>
      <w:numFmt w:val="decimal"/>
      <w:pStyle w:val="Heading6"/>
      <w:lvlText w:val="%1.%2.%3.%4.%5.%6"/>
      <w:lvlJc w:val="left"/>
      <w:pPr>
        <w:ind w:left="851" w:hanging="851"/>
      </w:pPr>
      <w:rPr>
        <w:rFonts w:hint="default"/>
      </w:rPr>
    </w:lvl>
    <w:lvl w:ilvl="6">
      <w:start w:val="1"/>
      <w:numFmt w:val="decimal"/>
      <w:pStyle w:val="Heading7"/>
      <w:lvlText w:val="%1.%2.%3.%4.%5.%6.%7"/>
      <w:lvlJc w:val="left"/>
      <w:pPr>
        <w:ind w:left="851" w:hanging="851"/>
      </w:pPr>
      <w:rPr>
        <w:rFonts w:hint="default"/>
      </w:rPr>
    </w:lvl>
    <w:lvl w:ilvl="7">
      <w:start w:val="1"/>
      <w:numFmt w:val="decimal"/>
      <w:pStyle w:val="Heading8"/>
      <w:lvlText w:val="%1.%2.%3.%4.%5.%6.%7.%8"/>
      <w:lvlJc w:val="left"/>
      <w:pPr>
        <w:ind w:left="851" w:hanging="851"/>
      </w:pPr>
      <w:rPr>
        <w:rFonts w:hint="default"/>
      </w:rPr>
    </w:lvl>
    <w:lvl w:ilvl="8">
      <w:start w:val="1"/>
      <w:numFmt w:val="decimal"/>
      <w:pStyle w:val="Heading9"/>
      <w:lvlText w:val="%1.%2.%3.%4.%5.%6.%7.%8.%9"/>
      <w:lvlJc w:val="left"/>
      <w:pPr>
        <w:ind w:left="851" w:hanging="851"/>
      </w:pPr>
      <w:rPr>
        <w:rFonts w:hint="default"/>
      </w:rPr>
    </w:lvl>
  </w:abstractNum>
  <w:abstractNum w:abstractNumId="28" w15:restartNumberingAfterBreak="0">
    <w:nsid w:val="51B022EC"/>
    <w:multiLevelType w:val="multilevel"/>
    <w:tmpl w:val="D3AAC278"/>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9" w15:restartNumberingAfterBreak="0">
    <w:nsid w:val="520605F1"/>
    <w:multiLevelType w:val="hybridMultilevel"/>
    <w:tmpl w:val="1A98BB08"/>
    <w:lvl w:ilvl="0" w:tplc="47B0A722">
      <w:start w:val="1"/>
      <w:numFmt w:val="bullet"/>
      <w:lvlText w:val=""/>
      <w:lvlJc w:val="left"/>
      <w:pPr>
        <w:ind w:left="720" w:hanging="360"/>
      </w:pPr>
      <w:rPr>
        <w:rFonts w:ascii="Wingdings" w:hAnsi="Wingdings" w:hint="default"/>
        <w:color w:val="92F105" w:themeColor="accent1"/>
        <w:u w:color="8A999D" w:themeColor="accent3"/>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3703535"/>
    <w:multiLevelType w:val="multilevel"/>
    <w:tmpl w:val="1060AB6A"/>
    <w:styleLink w:val="CurrentList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 w15:restartNumberingAfterBreak="0">
    <w:nsid w:val="56525446"/>
    <w:multiLevelType w:val="hybridMultilevel"/>
    <w:tmpl w:val="8B583102"/>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01E3652"/>
    <w:multiLevelType w:val="hybridMultilevel"/>
    <w:tmpl w:val="06B81AB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60850F65"/>
    <w:multiLevelType w:val="multilevel"/>
    <w:tmpl w:val="9D4CD37A"/>
    <w:lvl w:ilvl="0">
      <w:start w:val="1"/>
      <w:numFmt w:val="bullet"/>
      <w:pStyle w:val="bullets"/>
      <w:lvlText w:val=""/>
      <w:lvlJc w:val="left"/>
      <w:pPr>
        <w:ind w:left="567" w:hanging="283"/>
      </w:pPr>
      <w:rPr>
        <w:rFonts w:ascii="Wingdings" w:hAnsi="Wingdings" w:hint="default"/>
        <w:color w:val="76C204"/>
      </w:rPr>
    </w:lvl>
    <w:lvl w:ilvl="1">
      <w:start w:val="1"/>
      <w:numFmt w:val="bullet"/>
      <w:lvlText w:val=""/>
      <w:lvlJc w:val="left"/>
      <w:pPr>
        <w:ind w:left="1004" w:hanging="360"/>
      </w:pPr>
      <w:rPr>
        <w:rFonts w:ascii="Wingdings 2" w:hAnsi="Wingdings 2" w:hint="default"/>
        <w:color w:val="006699"/>
      </w:rPr>
    </w:lvl>
    <w:lvl w:ilvl="2">
      <w:start w:val="1"/>
      <w:numFmt w:val="bullet"/>
      <w:lvlText w:val="o"/>
      <w:lvlJc w:val="left"/>
      <w:pPr>
        <w:ind w:left="1364" w:hanging="360"/>
      </w:pPr>
      <w:rPr>
        <w:rFonts w:ascii="Courier New" w:hAnsi="Courier New" w:cs="Courier New" w:hint="default"/>
        <w:color w:val="006699"/>
      </w:rPr>
    </w:lvl>
    <w:lvl w:ilvl="3">
      <w:start w:val="1"/>
      <w:numFmt w:val="bullet"/>
      <w:lvlText w:val=""/>
      <w:lvlJc w:val="left"/>
      <w:pPr>
        <w:ind w:left="1724" w:hanging="360"/>
      </w:pPr>
      <w:rPr>
        <w:rFonts w:ascii="Symbol" w:hAnsi="Symbol" w:hint="default"/>
      </w:rPr>
    </w:lvl>
    <w:lvl w:ilvl="4">
      <w:start w:val="1"/>
      <w:numFmt w:val="bullet"/>
      <w:lvlText w:val=""/>
      <w:lvlJc w:val="left"/>
      <w:pPr>
        <w:ind w:left="2084" w:hanging="360"/>
      </w:pPr>
      <w:rPr>
        <w:rFonts w:ascii="Symbol" w:hAnsi="Symbol" w:hint="default"/>
      </w:rPr>
    </w:lvl>
    <w:lvl w:ilvl="5">
      <w:start w:val="1"/>
      <w:numFmt w:val="bullet"/>
      <w:lvlText w:val=""/>
      <w:lvlJc w:val="left"/>
      <w:pPr>
        <w:ind w:left="2444" w:hanging="360"/>
      </w:pPr>
      <w:rPr>
        <w:rFonts w:ascii="Wingdings" w:hAnsi="Wingdings" w:hint="default"/>
      </w:rPr>
    </w:lvl>
    <w:lvl w:ilvl="6">
      <w:start w:val="1"/>
      <w:numFmt w:val="bullet"/>
      <w:lvlText w:val=""/>
      <w:lvlJc w:val="left"/>
      <w:pPr>
        <w:ind w:left="2804" w:hanging="360"/>
      </w:pPr>
      <w:rPr>
        <w:rFonts w:ascii="Wingdings" w:hAnsi="Wingdings" w:hint="default"/>
      </w:rPr>
    </w:lvl>
    <w:lvl w:ilvl="7">
      <w:start w:val="1"/>
      <w:numFmt w:val="bullet"/>
      <w:lvlText w:val=""/>
      <w:lvlJc w:val="left"/>
      <w:pPr>
        <w:ind w:left="3164" w:hanging="360"/>
      </w:pPr>
      <w:rPr>
        <w:rFonts w:ascii="Symbol" w:hAnsi="Symbol" w:hint="default"/>
      </w:rPr>
    </w:lvl>
    <w:lvl w:ilvl="8">
      <w:start w:val="1"/>
      <w:numFmt w:val="bullet"/>
      <w:lvlText w:val=""/>
      <w:lvlJc w:val="left"/>
      <w:pPr>
        <w:ind w:left="3524" w:hanging="360"/>
      </w:pPr>
      <w:rPr>
        <w:rFonts w:ascii="Symbol" w:hAnsi="Symbol" w:hint="default"/>
      </w:rPr>
    </w:lvl>
  </w:abstractNum>
  <w:abstractNum w:abstractNumId="34" w15:restartNumberingAfterBreak="0">
    <w:nsid w:val="60AA1991"/>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5" w15:restartNumberingAfterBreak="0">
    <w:nsid w:val="638479F8"/>
    <w:multiLevelType w:val="multilevel"/>
    <w:tmpl w:val="C38201AA"/>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6" w15:restartNumberingAfterBreak="0">
    <w:nsid w:val="693729C1"/>
    <w:multiLevelType w:val="multilevel"/>
    <w:tmpl w:val="55E4868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7" w15:restartNumberingAfterBreak="0">
    <w:nsid w:val="696103DA"/>
    <w:multiLevelType w:val="multilevel"/>
    <w:tmpl w:val="55E4868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8" w15:restartNumberingAfterBreak="0">
    <w:nsid w:val="69DA2962"/>
    <w:multiLevelType w:val="hybridMultilevel"/>
    <w:tmpl w:val="F5F099F0"/>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69F529B7"/>
    <w:multiLevelType w:val="multilevel"/>
    <w:tmpl w:val="E480A5D6"/>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0" w15:restartNumberingAfterBreak="0">
    <w:nsid w:val="6BBF4C5B"/>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1" w15:restartNumberingAfterBreak="0">
    <w:nsid w:val="6D582559"/>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2" w15:restartNumberingAfterBreak="0">
    <w:nsid w:val="6E480B36"/>
    <w:multiLevelType w:val="hybridMultilevel"/>
    <w:tmpl w:val="F3A0FB06"/>
    <w:lvl w:ilvl="0" w:tplc="D298C35E">
      <w:start w:val="1"/>
      <w:numFmt w:val="bullet"/>
      <w:lvlText w:val=""/>
      <w:lvlJc w:val="left"/>
      <w:pPr>
        <w:ind w:left="720" w:hanging="360"/>
      </w:pPr>
      <w:rPr>
        <w:rFonts w:ascii="Symbol" w:hAnsi="Symbol" w:hint="default"/>
        <w:color w:val="79BB42"/>
        <w:sz w:val="16"/>
        <w:u w:color="8A999D"/>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72904A21"/>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4" w15:restartNumberingAfterBreak="0">
    <w:nsid w:val="77055D52"/>
    <w:multiLevelType w:val="hybridMultilevel"/>
    <w:tmpl w:val="BE64B40E"/>
    <w:lvl w:ilvl="0" w:tplc="D298C35E">
      <w:start w:val="1"/>
      <w:numFmt w:val="bullet"/>
      <w:lvlText w:val=""/>
      <w:lvlJc w:val="left"/>
      <w:pPr>
        <w:ind w:left="1080" w:hanging="360"/>
      </w:pPr>
      <w:rPr>
        <w:rFonts w:ascii="Symbol" w:hAnsi="Symbol" w:hint="default"/>
        <w:color w:val="79BB42"/>
        <w:sz w:val="16"/>
        <w:u w:color="8A999D"/>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5" w15:restartNumberingAfterBreak="0">
    <w:nsid w:val="792008EE"/>
    <w:multiLevelType w:val="hybridMultilevel"/>
    <w:tmpl w:val="25D47A14"/>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6" w15:restartNumberingAfterBreak="0">
    <w:nsid w:val="7A0F7705"/>
    <w:multiLevelType w:val="hybridMultilevel"/>
    <w:tmpl w:val="99865282"/>
    <w:lvl w:ilvl="0" w:tplc="0C090011">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7" w15:restartNumberingAfterBreak="0">
    <w:nsid w:val="7C53572D"/>
    <w:multiLevelType w:val="hybridMultilevel"/>
    <w:tmpl w:val="343E97AA"/>
    <w:lvl w:ilvl="0" w:tplc="74AC72F4">
      <w:start w:val="1"/>
      <w:numFmt w:val="bullet"/>
      <w:pStyle w:val="listbullet0"/>
      <w:lvlText w:val=""/>
      <w:lvlJc w:val="left"/>
      <w:pPr>
        <w:ind w:left="720" w:hanging="360"/>
      </w:pPr>
      <w:rPr>
        <w:rFonts w:ascii="Symbol" w:hAnsi="Symbol" w:hint="default"/>
        <w:color w:val="75C10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8" w15:restartNumberingAfterBreak="0">
    <w:nsid w:val="7EEF67A7"/>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num w:numId="1" w16cid:durableId="111940297">
    <w:abstractNumId w:val="33"/>
  </w:num>
  <w:num w:numId="2" w16cid:durableId="1628126595">
    <w:abstractNumId w:val="11"/>
  </w:num>
  <w:num w:numId="3" w16cid:durableId="2025553252">
    <w:abstractNumId w:val="27"/>
  </w:num>
  <w:num w:numId="4" w16cid:durableId="1950427850">
    <w:abstractNumId w:val="26"/>
  </w:num>
  <w:num w:numId="5" w16cid:durableId="1044016947">
    <w:abstractNumId w:val="4"/>
  </w:num>
  <w:num w:numId="6" w16cid:durableId="637144886">
    <w:abstractNumId w:val="19"/>
  </w:num>
  <w:num w:numId="7" w16cid:durableId="2130540493">
    <w:abstractNumId w:val="30"/>
  </w:num>
  <w:num w:numId="8" w16cid:durableId="872227893">
    <w:abstractNumId w:val="12"/>
  </w:num>
  <w:num w:numId="9" w16cid:durableId="1670866008">
    <w:abstractNumId w:val="7"/>
  </w:num>
  <w:num w:numId="10" w16cid:durableId="125202660">
    <w:abstractNumId w:val="21"/>
  </w:num>
  <w:num w:numId="11" w16cid:durableId="431051196">
    <w:abstractNumId w:val="3"/>
  </w:num>
  <w:num w:numId="12" w16cid:durableId="1756055427">
    <w:abstractNumId w:val="46"/>
  </w:num>
  <w:num w:numId="13" w16cid:durableId="727849042">
    <w:abstractNumId w:val="8"/>
  </w:num>
  <w:num w:numId="14" w16cid:durableId="308242681">
    <w:abstractNumId w:val="14"/>
  </w:num>
  <w:num w:numId="15" w16cid:durableId="619803362">
    <w:abstractNumId w:val="17"/>
  </w:num>
  <w:num w:numId="16" w16cid:durableId="562253381">
    <w:abstractNumId w:val="32"/>
  </w:num>
  <w:num w:numId="17" w16cid:durableId="1926304664">
    <w:abstractNumId w:val="28"/>
  </w:num>
  <w:num w:numId="18" w16cid:durableId="1194806786">
    <w:abstractNumId w:val="31"/>
  </w:num>
  <w:num w:numId="19" w16cid:durableId="2056268699">
    <w:abstractNumId w:val="13"/>
  </w:num>
  <w:num w:numId="20" w16cid:durableId="1106922104">
    <w:abstractNumId w:val="18"/>
  </w:num>
  <w:num w:numId="21" w16cid:durableId="242419243">
    <w:abstractNumId w:val="29"/>
  </w:num>
  <w:num w:numId="22" w16cid:durableId="1152016606">
    <w:abstractNumId w:val="42"/>
  </w:num>
  <w:num w:numId="23" w16cid:durableId="121848495">
    <w:abstractNumId w:val="39"/>
  </w:num>
  <w:num w:numId="24" w16cid:durableId="1473712116">
    <w:abstractNumId w:val="16"/>
  </w:num>
  <w:num w:numId="25" w16cid:durableId="1733191631">
    <w:abstractNumId w:val="37"/>
  </w:num>
  <w:num w:numId="26" w16cid:durableId="714892223">
    <w:abstractNumId w:val="36"/>
  </w:num>
  <w:num w:numId="27" w16cid:durableId="976837947">
    <w:abstractNumId w:val="20"/>
  </w:num>
  <w:num w:numId="28" w16cid:durableId="381370084">
    <w:abstractNumId w:val="40"/>
  </w:num>
  <w:num w:numId="29" w16cid:durableId="1838880364">
    <w:abstractNumId w:val="34"/>
  </w:num>
  <w:num w:numId="30" w16cid:durableId="1151366052">
    <w:abstractNumId w:val="15"/>
  </w:num>
  <w:num w:numId="31" w16cid:durableId="533734225">
    <w:abstractNumId w:val="6"/>
  </w:num>
  <w:num w:numId="32" w16cid:durableId="397822983">
    <w:abstractNumId w:val="48"/>
  </w:num>
  <w:num w:numId="33" w16cid:durableId="1356080867">
    <w:abstractNumId w:val="9"/>
  </w:num>
  <w:num w:numId="34" w16cid:durableId="454102505">
    <w:abstractNumId w:val="22"/>
  </w:num>
  <w:num w:numId="35" w16cid:durableId="396905558">
    <w:abstractNumId w:val="10"/>
  </w:num>
  <w:num w:numId="36" w16cid:durableId="220480753">
    <w:abstractNumId w:val="43"/>
  </w:num>
  <w:num w:numId="37" w16cid:durableId="1918048893">
    <w:abstractNumId w:val="41"/>
  </w:num>
  <w:num w:numId="38" w16cid:durableId="1562327408">
    <w:abstractNumId w:val="25"/>
  </w:num>
  <w:num w:numId="39" w16cid:durableId="62873375">
    <w:abstractNumId w:val="35"/>
  </w:num>
  <w:num w:numId="40" w16cid:durableId="2080250020">
    <w:abstractNumId w:val="5"/>
  </w:num>
  <w:num w:numId="41" w16cid:durableId="1566649473">
    <w:abstractNumId w:val="38"/>
  </w:num>
  <w:num w:numId="42" w16cid:durableId="1887447419">
    <w:abstractNumId w:val="24"/>
  </w:num>
  <w:num w:numId="43" w16cid:durableId="367801465">
    <w:abstractNumId w:val="23"/>
  </w:num>
  <w:num w:numId="44" w16cid:durableId="1436711967">
    <w:abstractNumId w:val="45"/>
  </w:num>
  <w:num w:numId="45" w16cid:durableId="1718896817">
    <w:abstractNumId w:val="44"/>
  </w:num>
  <w:num w:numId="46" w16cid:durableId="1900899953">
    <w:abstractNumId w:val="27"/>
  </w:num>
  <w:num w:numId="47" w16cid:durableId="1112822029">
    <w:abstractNumId w:val="2"/>
  </w:num>
  <w:num w:numId="48" w16cid:durableId="1957590398">
    <w:abstractNumId w:val="0"/>
  </w:num>
  <w:num w:numId="49" w16cid:durableId="192039395">
    <w:abstractNumId w:val="1"/>
  </w:num>
  <w:num w:numId="50" w16cid:durableId="923148362">
    <w:abstractNumId w:val="47"/>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PWAFVersion" w:val="5.0"/>
  </w:docVars>
  <w:rsids>
    <w:rsidRoot w:val="000F02AC"/>
    <w:rsid w:val="0000151B"/>
    <w:rsid w:val="00005A50"/>
    <w:rsid w:val="0001130A"/>
    <w:rsid w:val="000146BA"/>
    <w:rsid w:val="000171ED"/>
    <w:rsid w:val="00020228"/>
    <w:rsid w:val="00023D2C"/>
    <w:rsid w:val="00043148"/>
    <w:rsid w:val="000459E1"/>
    <w:rsid w:val="000532D3"/>
    <w:rsid w:val="00056847"/>
    <w:rsid w:val="000678CC"/>
    <w:rsid w:val="000757DE"/>
    <w:rsid w:val="00080973"/>
    <w:rsid w:val="00087F53"/>
    <w:rsid w:val="000955EA"/>
    <w:rsid w:val="000A228B"/>
    <w:rsid w:val="000A304C"/>
    <w:rsid w:val="000A62F1"/>
    <w:rsid w:val="000A6B34"/>
    <w:rsid w:val="000B1D78"/>
    <w:rsid w:val="000B3BF3"/>
    <w:rsid w:val="000C01EB"/>
    <w:rsid w:val="000C7749"/>
    <w:rsid w:val="000D087D"/>
    <w:rsid w:val="000D6FA5"/>
    <w:rsid w:val="000E01D9"/>
    <w:rsid w:val="000E1D69"/>
    <w:rsid w:val="000E1F6A"/>
    <w:rsid w:val="000E6D21"/>
    <w:rsid w:val="000F02AC"/>
    <w:rsid w:val="000F20C5"/>
    <w:rsid w:val="000F44F8"/>
    <w:rsid w:val="001033FC"/>
    <w:rsid w:val="00115153"/>
    <w:rsid w:val="0011786F"/>
    <w:rsid w:val="00122DFD"/>
    <w:rsid w:val="0012448B"/>
    <w:rsid w:val="00124523"/>
    <w:rsid w:val="00125EA6"/>
    <w:rsid w:val="0012798C"/>
    <w:rsid w:val="001329E3"/>
    <w:rsid w:val="00133452"/>
    <w:rsid w:val="00135755"/>
    <w:rsid w:val="00136695"/>
    <w:rsid w:val="00141FCE"/>
    <w:rsid w:val="00142864"/>
    <w:rsid w:val="00160144"/>
    <w:rsid w:val="00165987"/>
    <w:rsid w:val="001824B5"/>
    <w:rsid w:val="001845F0"/>
    <w:rsid w:val="001964BA"/>
    <w:rsid w:val="001B3171"/>
    <w:rsid w:val="001C1706"/>
    <w:rsid w:val="001C21BB"/>
    <w:rsid w:val="001C33C8"/>
    <w:rsid w:val="001D529D"/>
    <w:rsid w:val="001D6606"/>
    <w:rsid w:val="001E6B7E"/>
    <w:rsid w:val="001F3D92"/>
    <w:rsid w:val="001F5791"/>
    <w:rsid w:val="002001E8"/>
    <w:rsid w:val="00205192"/>
    <w:rsid w:val="0020556B"/>
    <w:rsid w:val="00205695"/>
    <w:rsid w:val="0021075E"/>
    <w:rsid w:val="00217EC2"/>
    <w:rsid w:val="00221A34"/>
    <w:rsid w:val="002239A0"/>
    <w:rsid w:val="00230F55"/>
    <w:rsid w:val="002363CC"/>
    <w:rsid w:val="0024534D"/>
    <w:rsid w:val="00253974"/>
    <w:rsid w:val="0025644B"/>
    <w:rsid w:val="00257642"/>
    <w:rsid w:val="0025781D"/>
    <w:rsid w:val="002623DE"/>
    <w:rsid w:val="0026385F"/>
    <w:rsid w:val="002654BE"/>
    <w:rsid w:val="002669A4"/>
    <w:rsid w:val="00273AFA"/>
    <w:rsid w:val="00296F75"/>
    <w:rsid w:val="002976D3"/>
    <w:rsid w:val="00297D02"/>
    <w:rsid w:val="002A4CDE"/>
    <w:rsid w:val="002B121D"/>
    <w:rsid w:val="002C227E"/>
    <w:rsid w:val="002C3024"/>
    <w:rsid w:val="002F1ED0"/>
    <w:rsid w:val="002F2626"/>
    <w:rsid w:val="002F4B28"/>
    <w:rsid w:val="00313554"/>
    <w:rsid w:val="00314513"/>
    <w:rsid w:val="00326B16"/>
    <w:rsid w:val="00335364"/>
    <w:rsid w:val="0034552F"/>
    <w:rsid w:val="003827F0"/>
    <w:rsid w:val="00385652"/>
    <w:rsid w:val="003950AC"/>
    <w:rsid w:val="003A75A7"/>
    <w:rsid w:val="003A7A7E"/>
    <w:rsid w:val="003B017B"/>
    <w:rsid w:val="003B1B03"/>
    <w:rsid w:val="003B518C"/>
    <w:rsid w:val="003B7D5F"/>
    <w:rsid w:val="003C4951"/>
    <w:rsid w:val="003C6E88"/>
    <w:rsid w:val="003C77AB"/>
    <w:rsid w:val="003D67B8"/>
    <w:rsid w:val="003D68AD"/>
    <w:rsid w:val="003E21B6"/>
    <w:rsid w:val="003F581A"/>
    <w:rsid w:val="0040435A"/>
    <w:rsid w:val="00406CE0"/>
    <w:rsid w:val="0042344E"/>
    <w:rsid w:val="00425DDD"/>
    <w:rsid w:val="004404AE"/>
    <w:rsid w:val="0044110A"/>
    <w:rsid w:val="004419CF"/>
    <w:rsid w:val="00446F92"/>
    <w:rsid w:val="004505C2"/>
    <w:rsid w:val="00452CCC"/>
    <w:rsid w:val="00457FBB"/>
    <w:rsid w:val="004647B4"/>
    <w:rsid w:val="0046774D"/>
    <w:rsid w:val="004828E1"/>
    <w:rsid w:val="00491C09"/>
    <w:rsid w:val="004A5028"/>
    <w:rsid w:val="004A5CDF"/>
    <w:rsid w:val="004B2256"/>
    <w:rsid w:val="004B37EF"/>
    <w:rsid w:val="004B3CB6"/>
    <w:rsid w:val="004C4416"/>
    <w:rsid w:val="004D0895"/>
    <w:rsid w:val="004D7F2D"/>
    <w:rsid w:val="004E523F"/>
    <w:rsid w:val="004F05E9"/>
    <w:rsid w:val="004F1681"/>
    <w:rsid w:val="004F5A87"/>
    <w:rsid w:val="005052AC"/>
    <w:rsid w:val="00505C77"/>
    <w:rsid w:val="0051204C"/>
    <w:rsid w:val="00513EF0"/>
    <w:rsid w:val="0051406F"/>
    <w:rsid w:val="0051469E"/>
    <w:rsid w:val="00517E90"/>
    <w:rsid w:val="00521981"/>
    <w:rsid w:val="005250C4"/>
    <w:rsid w:val="00544C13"/>
    <w:rsid w:val="005460DA"/>
    <w:rsid w:val="0056683C"/>
    <w:rsid w:val="00567CEE"/>
    <w:rsid w:val="0057386D"/>
    <w:rsid w:val="0058272A"/>
    <w:rsid w:val="00582FF9"/>
    <w:rsid w:val="0059421B"/>
    <w:rsid w:val="00595E5D"/>
    <w:rsid w:val="005961BD"/>
    <w:rsid w:val="005968B1"/>
    <w:rsid w:val="005A0EF5"/>
    <w:rsid w:val="005A237C"/>
    <w:rsid w:val="005A26E3"/>
    <w:rsid w:val="005A45D0"/>
    <w:rsid w:val="005B0B31"/>
    <w:rsid w:val="005B64E3"/>
    <w:rsid w:val="005D3D76"/>
    <w:rsid w:val="005D4B57"/>
    <w:rsid w:val="005D4CD1"/>
    <w:rsid w:val="005D6C2C"/>
    <w:rsid w:val="005E14BC"/>
    <w:rsid w:val="005E3A13"/>
    <w:rsid w:val="005E760E"/>
    <w:rsid w:val="005F127F"/>
    <w:rsid w:val="005F6BD8"/>
    <w:rsid w:val="005F704A"/>
    <w:rsid w:val="00600D17"/>
    <w:rsid w:val="006017C6"/>
    <w:rsid w:val="0062106C"/>
    <w:rsid w:val="00630F3A"/>
    <w:rsid w:val="00655D4A"/>
    <w:rsid w:val="00661CAA"/>
    <w:rsid w:val="00664EDF"/>
    <w:rsid w:val="0067114A"/>
    <w:rsid w:val="0067723A"/>
    <w:rsid w:val="0068360E"/>
    <w:rsid w:val="006A0003"/>
    <w:rsid w:val="006A0F2E"/>
    <w:rsid w:val="006A100F"/>
    <w:rsid w:val="006A3FD4"/>
    <w:rsid w:val="006A4E4D"/>
    <w:rsid w:val="006B1FBF"/>
    <w:rsid w:val="006B77B2"/>
    <w:rsid w:val="006B7AFE"/>
    <w:rsid w:val="006D16B5"/>
    <w:rsid w:val="006D7990"/>
    <w:rsid w:val="006E17F5"/>
    <w:rsid w:val="006F444A"/>
    <w:rsid w:val="006F5D86"/>
    <w:rsid w:val="006F7298"/>
    <w:rsid w:val="00706481"/>
    <w:rsid w:val="0072067A"/>
    <w:rsid w:val="00724410"/>
    <w:rsid w:val="00725745"/>
    <w:rsid w:val="00733A9C"/>
    <w:rsid w:val="00736F70"/>
    <w:rsid w:val="00744F32"/>
    <w:rsid w:val="007516EF"/>
    <w:rsid w:val="00755321"/>
    <w:rsid w:val="00757DFF"/>
    <w:rsid w:val="00760AA9"/>
    <w:rsid w:val="00765873"/>
    <w:rsid w:val="00765B60"/>
    <w:rsid w:val="00780A4E"/>
    <w:rsid w:val="00787223"/>
    <w:rsid w:val="00794ED1"/>
    <w:rsid w:val="007A113B"/>
    <w:rsid w:val="007A2E69"/>
    <w:rsid w:val="007A3C41"/>
    <w:rsid w:val="007A7C78"/>
    <w:rsid w:val="007B3AE3"/>
    <w:rsid w:val="007B4373"/>
    <w:rsid w:val="007C0B68"/>
    <w:rsid w:val="007C1956"/>
    <w:rsid w:val="007C2B46"/>
    <w:rsid w:val="007C4FCC"/>
    <w:rsid w:val="007D2662"/>
    <w:rsid w:val="007E3707"/>
    <w:rsid w:val="007F0027"/>
    <w:rsid w:val="007F1468"/>
    <w:rsid w:val="00800868"/>
    <w:rsid w:val="00804D15"/>
    <w:rsid w:val="008246D8"/>
    <w:rsid w:val="00824E97"/>
    <w:rsid w:val="00825259"/>
    <w:rsid w:val="00834DA8"/>
    <w:rsid w:val="00837192"/>
    <w:rsid w:val="00844973"/>
    <w:rsid w:val="0084698F"/>
    <w:rsid w:val="00846DA6"/>
    <w:rsid w:val="00846E9E"/>
    <w:rsid w:val="008505BC"/>
    <w:rsid w:val="00856676"/>
    <w:rsid w:val="00861314"/>
    <w:rsid w:val="00862B20"/>
    <w:rsid w:val="00874B61"/>
    <w:rsid w:val="00884731"/>
    <w:rsid w:val="008855EA"/>
    <w:rsid w:val="008A37A8"/>
    <w:rsid w:val="008A65C5"/>
    <w:rsid w:val="008B0016"/>
    <w:rsid w:val="008B1956"/>
    <w:rsid w:val="008C3EEA"/>
    <w:rsid w:val="008C607D"/>
    <w:rsid w:val="008D7F4A"/>
    <w:rsid w:val="008F1AD2"/>
    <w:rsid w:val="008F3DAD"/>
    <w:rsid w:val="008F459D"/>
    <w:rsid w:val="00900F06"/>
    <w:rsid w:val="00904A1E"/>
    <w:rsid w:val="0090685D"/>
    <w:rsid w:val="00913EC6"/>
    <w:rsid w:val="00914225"/>
    <w:rsid w:val="00914411"/>
    <w:rsid w:val="00914957"/>
    <w:rsid w:val="00917410"/>
    <w:rsid w:val="00917CB2"/>
    <w:rsid w:val="00936DA7"/>
    <w:rsid w:val="00945C4E"/>
    <w:rsid w:val="009577DE"/>
    <w:rsid w:val="00970FE4"/>
    <w:rsid w:val="0098143D"/>
    <w:rsid w:val="00992A45"/>
    <w:rsid w:val="009A294C"/>
    <w:rsid w:val="009C649D"/>
    <w:rsid w:val="009D7522"/>
    <w:rsid w:val="009F1FED"/>
    <w:rsid w:val="00A0244E"/>
    <w:rsid w:val="00A04E2C"/>
    <w:rsid w:val="00A1378C"/>
    <w:rsid w:val="00A138F2"/>
    <w:rsid w:val="00A23D1E"/>
    <w:rsid w:val="00A41C60"/>
    <w:rsid w:val="00A42EB9"/>
    <w:rsid w:val="00A57748"/>
    <w:rsid w:val="00A6563B"/>
    <w:rsid w:val="00A75CFB"/>
    <w:rsid w:val="00A80A2D"/>
    <w:rsid w:val="00A81E8D"/>
    <w:rsid w:val="00A90A13"/>
    <w:rsid w:val="00AA0C33"/>
    <w:rsid w:val="00AD0802"/>
    <w:rsid w:val="00AD3230"/>
    <w:rsid w:val="00AD4678"/>
    <w:rsid w:val="00AD561F"/>
    <w:rsid w:val="00AD6F21"/>
    <w:rsid w:val="00AE1753"/>
    <w:rsid w:val="00AE7AAE"/>
    <w:rsid w:val="00B022D0"/>
    <w:rsid w:val="00B12514"/>
    <w:rsid w:val="00B318C3"/>
    <w:rsid w:val="00B41343"/>
    <w:rsid w:val="00B4171F"/>
    <w:rsid w:val="00B47B9C"/>
    <w:rsid w:val="00B54909"/>
    <w:rsid w:val="00B55051"/>
    <w:rsid w:val="00B60B1B"/>
    <w:rsid w:val="00B6345E"/>
    <w:rsid w:val="00B82E6B"/>
    <w:rsid w:val="00B8410E"/>
    <w:rsid w:val="00B936D9"/>
    <w:rsid w:val="00BA5A06"/>
    <w:rsid w:val="00BB68EE"/>
    <w:rsid w:val="00BC4145"/>
    <w:rsid w:val="00BD1E39"/>
    <w:rsid w:val="00BD36D0"/>
    <w:rsid w:val="00BE3AD8"/>
    <w:rsid w:val="00BE55E7"/>
    <w:rsid w:val="00BF08B9"/>
    <w:rsid w:val="00BF2265"/>
    <w:rsid w:val="00BF3B9F"/>
    <w:rsid w:val="00BF57D3"/>
    <w:rsid w:val="00C115AC"/>
    <w:rsid w:val="00C13B14"/>
    <w:rsid w:val="00C2020C"/>
    <w:rsid w:val="00C22003"/>
    <w:rsid w:val="00C25181"/>
    <w:rsid w:val="00C26A95"/>
    <w:rsid w:val="00C31C53"/>
    <w:rsid w:val="00C33904"/>
    <w:rsid w:val="00C5115D"/>
    <w:rsid w:val="00C57FDE"/>
    <w:rsid w:val="00C6136A"/>
    <w:rsid w:val="00C61941"/>
    <w:rsid w:val="00C82745"/>
    <w:rsid w:val="00C91811"/>
    <w:rsid w:val="00C943B7"/>
    <w:rsid w:val="00CA5F42"/>
    <w:rsid w:val="00CB2768"/>
    <w:rsid w:val="00CC1414"/>
    <w:rsid w:val="00CC25E0"/>
    <w:rsid w:val="00CD6FA3"/>
    <w:rsid w:val="00CD731E"/>
    <w:rsid w:val="00CE62E7"/>
    <w:rsid w:val="00CE6C7F"/>
    <w:rsid w:val="00CF110A"/>
    <w:rsid w:val="00CF626C"/>
    <w:rsid w:val="00CF6357"/>
    <w:rsid w:val="00D01265"/>
    <w:rsid w:val="00D01C8E"/>
    <w:rsid w:val="00D03D4B"/>
    <w:rsid w:val="00D065F2"/>
    <w:rsid w:val="00D066A3"/>
    <w:rsid w:val="00D10C92"/>
    <w:rsid w:val="00D1254D"/>
    <w:rsid w:val="00D14B14"/>
    <w:rsid w:val="00D15223"/>
    <w:rsid w:val="00D16796"/>
    <w:rsid w:val="00D207B2"/>
    <w:rsid w:val="00D367E0"/>
    <w:rsid w:val="00D44E46"/>
    <w:rsid w:val="00D50911"/>
    <w:rsid w:val="00D523A8"/>
    <w:rsid w:val="00D64770"/>
    <w:rsid w:val="00D67117"/>
    <w:rsid w:val="00D72ECE"/>
    <w:rsid w:val="00D76439"/>
    <w:rsid w:val="00D84356"/>
    <w:rsid w:val="00D8447B"/>
    <w:rsid w:val="00D86C13"/>
    <w:rsid w:val="00D95C05"/>
    <w:rsid w:val="00DA335B"/>
    <w:rsid w:val="00DA62BD"/>
    <w:rsid w:val="00DB3D87"/>
    <w:rsid w:val="00DC7252"/>
    <w:rsid w:val="00DD0C88"/>
    <w:rsid w:val="00DD3C69"/>
    <w:rsid w:val="00DD4AF2"/>
    <w:rsid w:val="00DD5F51"/>
    <w:rsid w:val="00DD739B"/>
    <w:rsid w:val="00DE2A58"/>
    <w:rsid w:val="00DF12F7"/>
    <w:rsid w:val="00DF422E"/>
    <w:rsid w:val="00E10391"/>
    <w:rsid w:val="00E20344"/>
    <w:rsid w:val="00E22922"/>
    <w:rsid w:val="00E2313F"/>
    <w:rsid w:val="00E23AB5"/>
    <w:rsid w:val="00E34E9E"/>
    <w:rsid w:val="00E5036A"/>
    <w:rsid w:val="00E543AD"/>
    <w:rsid w:val="00E54C89"/>
    <w:rsid w:val="00E55184"/>
    <w:rsid w:val="00E57A7B"/>
    <w:rsid w:val="00E6127E"/>
    <w:rsid w:val="00E61CBB"/>
    <w:rsid w:val="00E66779"/>
    <w:rsid w:val="00E66F0E"/>
    <w:rsid w:val="00E70701"/>
    <w:rsid w:val="00E70A17"/>
    <w:rsid w:val="00E916A2"/>
    <w:rsid w:val="00EA181A"/>
    <w:rsid w:val="00EA4D0C"/>
    <w:rsid w:val="00EA6AC1"/>
    <w:rsid w:val="00EA6C34"/>
    <w:rsid w:val="00EA766A"/>
    <w:rsid w:val="00EA796A"/>
    <w:rsid w:val="00EB1923"/>
    <w:rsid w:val="00EB2D05"/>
    <w:rsid w:val="00EC1404"/>
    <w:rsid w:val="00EC148D"/>
    <w:rsid w:val="00EE07B0"/>
    <w:rsid w:val="00EE0E27"/>
    <w:rsid w:val="00EE3F7E"/>
    <w:rsid w:val="00EE6D45"/>
    <w:rsid w:val="00EF0BC8"/>
    <w:rsid w:val="00EF3428"/>
    <w:rsid w:val="00EF61EC"/>
    <w:rsid w:val="00F03A32"/>
    <w:rsid w:val="00F03CBE"/>
    <w:rsid w:val="00F21F5A"/>
    <w:rsid w:val="00F22A97"/>
    <w:rsid w:val="00F32A55"/>
    <w:rsid w:val="00F32E5A"/>
    <w:rsid w:val="00F33E68"/>
    <w:rsid w:val="00F366B8"/>
    <w:rsid w:val="00F47873"/>
    <w:rsid w:val="00F51361"/>
    <w:rsid w:val="00F53743"/>
    <w:rsid w:val="00F703BA"/>
    <w:rsid w:val="00F83688"/>
    <w:rsid w:val="00F91EE9"/>
    <w:rsid w:val="00F92BFC"/>
    <w:rsid w:val="00FB356D"/>
    <w:rsid w:val="00FB71BE"/>
    <w:rsid w:val="00FC03E8"/>
    <w:rsid w:val="00FC09EE"/>
    <w:rsid w:val="00FC5EED"/>
    <w:rsid w:val="00FD10ED"/>
    <w:rsid w:val="00FE5824"/>
    <w:rsid w:val="00FF13A3"/>
    <w:rsid w:val="00FF1E4F"/>
    <w:rsid w:val="00FF443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0F53B37"/>
  <w15:docId w15:val="{4C703947-55FE-7949-A81F-C205DE02C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Times New Roman"/>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33FC"/>
    <w:rPr>
      <w:rFonts w:cs="Times New Roman (Body CS)"/>
      <w:szCs w:val="22"/>
      <w:lang w:eastAsia="en-US"/>
    </w:rPr>
  </w:style>
  <w:style w:type="paragraph" w:styleId="Heading1">
    <w:name w:val="heading 1"/>
    <w:aliases w:val="Heading 1 Char Char + Left,Left:  0 cm,First line:..."/>
    <w:basedOn w:val="Normal"/>
    <w:next w:val="Normal"/>
    <w:link w:val="Heading1Char"/>
    <w:autoRedefine/>
    <w:uiPriority w:val="9"/>
    <w:qFormat/>
    <w:rsid w:val="00FF13A3"/>
    <w:pPr>
      <w:keepNext/>
      <w:keepLines/>
      <w:numPr>
        <w:numId w:val="3"/>
      </w:numPr>
      <w:spacing w:before="400" w:after="200"/>
      <w:outlineLvl w:val="0"/>
    </w:pPr>
    <w:rPr>
      <w:rFonts w:eastAsia="Times New Roman" w:cs="Times New Roman (Headings CS)"/>
      <w:b/>
      <w:bCs/>
      <w:color w:val="1C5F69"/>
      <w:sz w:val="34"/>
      <w:szCs w:val="28"/>
    </w:rPr>
  </w:style>
  <w:style w:type="paragraph" w:styleId="Heading2">
    <w:name w:val="heading 2"/>
    <w:basedOn w:val="Normal"/>
    <w:next w:val="Normal"/>
    <w:link w:val="Heading2Char"/>
    <w:uiPriority w:val="9"/>
    <w:unhideWhenUsed/>
    <w:qFormat/>
    <w:rsid w:val="003B1B03"/>
    <w:pPr>
      <w:keepNext/>
      <w:keepLines/>
      <w:numPr>
        <w:ilvl w:val="1"/>
        <w:numId w:val="3"/>
      </w:numPr>
      <w:spacing w:before="300" w:after="100"/>
      <w:outlineLvl w:val="1"/>
    </w:pPr>
    <w:rPr>
      <w:rFonts w:eastAsia="Times New Roman" w:cs="Times New Roman"/>
      <w:b/>
      <w:bCs/>
      <w:color w:val="1C5F69"/>
      <w:sz w:val="28"/>
      <w:szCs w:val="26"/>
    </w:rPr>
  </w:style>
  <w:style w:type="paragraph" w:styleId="Heading3">
    <w:name w:val="heading 3"/>
    <w:aliases w:val="Level 1 - 1"/>
    <w:basedOn w:val="Normal"/>
    <w:next w:val="Normal"/>
    <w:link w:val="Heading3Char"/>
    <w:uiPriority w:val="9"/>
    <w:unhideWhenUsed/>
    <w:qFormat/>
    <w:rsid w:val="00C31C53"/>
    <w:pPr>
      <w:keepNext/>
      <w:keepLines/>
      <w:numPr>
        <w:ilvl w:val="2"/>
        <w:numId w:val="3"/>
      </w:numPr>
      <w:spacing w:before="100" w:after="100"/>
      <w:outlineLvl w:val="2"/>
    </w:pPr>
    <w:rPr>
      <w:rFonts w:eastAsia="Times New Roman" w:cs="Times New Roman"/>
      <w:b/>
      <w:bCs/>
      <w:color w:val="1C5F69"/>
    </w:rPr>
  </w:style>
  <w:style w:type="paragraph" w:styleId="Heading4">
    <w:name w:val="heading 4"/>
    <w:basedOn w:val="Normal"/>
    <w:next w:val="Normal"/>
    <w:link w:val="Heading4Char"/>
    <w:uiPriority w:val="9"/>
    <w:unhideWhenUsed/>
    <w:qFormat/>
    <w:rsid w:val="004505C2"/>
    <w:pPr>
      <w:keepNext/>
      <w:keepLines/>
      <w:numPr>
        <w:ilvl w:val="3"/>
        <w:numId w:val="3"/>
      </w:numPr>
      <w:spacing w:before="200"/>
      <w:outlineLvl w:val="3"/>
    </w:pPr>
    <w:rPr>
      <w:rFonts w:eastAsia="Times New Roman" w:cs="Times New Roman"/>
      <w:b/>
      <w:bCs/>
      <w:i/>
      <w:iCs/>
      <w:color w:val="000000"/>
      <w:sz w:val="24"/>
    </w:rPr>
  </w:style>
  <w:style w:type="paragraph" w:styleId="Heading5">
    <w:name w:val="heading 5"/>
    <w:basedOn w:val="Normal"/>
    <w:next w:val="Normal"/>
    <w:link w:val="Heading5Char"/>
    <w:uiPriority w:val="9"/>
    <w:semiHidden/>
    <w:unhideWhenUsed/>
    <w:qFormat/>
    <w:rsid w:val="004505C2"/>
    <w:pPr>
      <w:keepNext/>
      <w:keepLines/>
      <w:numPr>
        <w:ilvl w:val="4"/>
        <w:numId w:val="3"/>
      </w:numPr>
      <w:spacing w:before="200"/>
      <w:outlineLvl w:val="4"/>
    </w:pPr>
    <w:rPr>
      <w:rFonts w:eastAsia="Times New Roman" w:cs="Times New Roman"/>
      <w:color w:val="000000"/>
      <w:sz w:val="22"/>
    </w:rPr>
  </w:style>
  <w:style w:type="paragraph" w:styleId="Heading6">
    <w:name w:val="heading 6"/>
    <w:basedOn w:val="Normal"/>
    <w:next w:val="Normal"/>
    <w:link w:val="Heading6Char"/>
    <w:uiPriority w:val="9"/>
    <w:semiHidden/>
    <w:unhideWhenUsed/>
    <w:qFormat/>
    <w:rsid w:val="004505C2"/>
    <w:pPr>
      <w:keepNext/>
      <w:keepLines/>
      <w:numPr>
        <w:ilvl w:val="5"/>
        <w:numId w:val="3"/>
      </w:numPr>
      <w:spacing w:before="200"/>
      <w:outlineLvl w:val="5"/>
    </w:pPr>
    <w:rPr>
      <w:rFonts w:eastAsia="Times New Roman" w:cs="Times New Roman"/>
      <w:iCs/>
      <w:color w:val="92F105"/>
      <w:sz w:val="22"/>
    </w:rPr>
  </w:style>
  <w:style w:type="paragraph" w:styleId="Heading7">
    <w:name w:val="heading 7"/>
    <w:basedOn w:val="Normal"/>
    <w:next w:val="Normal"/>
    <w:link w:val="Heading7Char"/>
    <w:uiPriority w:val="9"/>
    <w:semiHidden/>
    <w:unhideWhenUsed/>
    <w:qFormat/>
    <w:rsid w:val="004505C2"/>
    <w:pPr>
      <w:keepNext/>
      <w:keepLines/>
      <w:numPr>
        <w:ilvl w:val="6"/>
        <w:numId w:val="3"/>
      </w:numPr>
      <w:spacing w:before="200"/>
      <w:outlineLvl w:val="6"/>
    </w:pPr>
    <w:rPr>
      <w:rFonts w:eastAsia="Times New Roman" w:cs="Times New Roman"/>
      <w:i/>
      <w:iCs/>
      <w:color w:val="000000"/>
      <w:sz w:val="22"/>
    </w:rPr>
  </w:style>
  <w:style w:type="paragraph" w:styleId="Heading8">
    <w:name w:val="heading 8"/>
    <w:basedOn w:val="Normal"/>
    <w:next w:val="Normal"/>
    <w:link w:val="Heading8Char"/>
    <w:uiPriority w:val="9"/>
    <w:semiHidden/>
    <w:unhideWhenUsed/>
    <w:qFormat/>
    <w:rsid w:val="004505C2"/>
    <w:pPr>
      <w:keepNext/>
      <w:keepLines/>
      <w:numPr>
        <w:ilvl w:val="7"/>
        <w:numId w:val="3"/>
      </w:numPr>
      <w:spacing w:before="200"/>
      <w:outlineLvl w:val="7"/>
    </w:pPr>
    <w:rPr>
      <w:rFonts w:eastAsia="Times New Roman" w:cs="Times New Roman"/>
      <w:color w:val="000000"/>
      <w:szCs w:val="20"/>
    </w:rPr>
  </w:style>
  <w:style w:type="paragraph" w:styleId="Heading9">
    <w:name w:val="heading 9"/>
    <w:basedOn w:val="Normal"/>
    <w:next w:val="Normal"/>
    <w:link w:val="Heading9Char"/>
    <w:uiPriority w:val="9"/>
    <w:semiHidden/>
    <w:unhideWhenUsed/>
    <w:qFormat/>
    <w:rsid w:val="004505C2"/>
    <w:pPr>
      <w:keepNext/>
      <w:keepLines/>
      <w:numPr>
        <w:ilvl w:val="8"/>
        <w:numId w:val="3"/>
      </w:numPr>
      <w:spacing w:before="200"/>
      <w:outlineLvl w:val="8"/>
    </w:pPr>
    <w:rPr>
      <w:rFonts w:eastAsia="Times New Roman" w:cs="Times New Roman"/>
      <w:i/>
      <w:iCs/>
      <w:color w:val="00000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469E"/>
    <w:pPr>
      <w:spacing w:after="320" w:line="640" w:lineRule="exact"/>
      <w:contextualSpacing/>
    </w:pPr>
    <w:rPr>
      <w:rFonts w:eastAsia="Times New Roman" w:cs="Times New Roman"/>
      <w:color w:val="FFFFFF"/>
      <w:kern w:val="28"/>
      <w:sz w:val="64"/>
      <w:szCs w:val="52"/>
    </w:rPr>
  </w:style>
  <w:style w:type="character" w:customStyle="1" w:styleId="TitleChar">
    <w:name w:val="Title Char"/>
    <w:link w:val="Title"/>
    <w:uiPriority w:val="10"/>
    <w:rsid w:val="0051469E"/>
    <w:rPr>
      <w:rFonts w:eastAsia="Times New Roman"/>
      <w:color w:val="FFFFFF"/>
      <w:kern w:val="28"/>
      <w:sz w:val="64"/>
      <w:szCs w:val="52"/>
      <w:lang w:eastAsia="en-US"/>
    </w:rPr>
  </w:style>
  <w:style w:type="paragraph" w:customStyle="1" w:styleId="bullets">
    <w:name w:val="bullets"/>
    <w:basedOn w:val="ListParagraph"/>
    <w:next w:val="Normal"/>
    <w:rsid w:val="009A294C"/>
    <w:pPr>
      <w:numPr>
        <w:numId w:val="1"/>
      </w:numPr>
      <w:autoSpaceDE/>
      <w:autoSpaceDN/>
      <w:adjustRightInd/>
      <w:textAlignment w:val="auto"/>
    </w:pPr>
  </w:style>
  <w:style w:type="paragraph" w:styleId="BodyText">
    <w:name w:val="Body Text"/>
    <w:basedOn w:val="Normal"/>
    <w:link w:val="BodyTextChar"/>
    <w:uiPriority w:val="99"/>
    <w:semiHidden/>
    <w:unhideWhenUsed/>
    <w:rsid w:val="00A57748"/>
  </w:style>
  <w:style w:type="character" w:customStyle="1" w:styleId="BodyTextChar">
    <w:name w:val="Body Text Char"/>
    <w:link w:val="BodyText"/>
    <w:uiPriority w:val="99"/>
    <w:semiHidden/>
    <w:rsid w:val="00A57748"/>
    <w:rPr>
      <w:color w:val="3B3838"/>
      <w:sz w:val="18"/>
    </w:rPr>
  </w:style>
  <w:style w:type="paragraph" w:styleId="BlockText">
    <w:name w:val="Block Text"/>
    <w:basedOn w:val="Normal"/>
    <w:uiPriority w:val="99"/>
    <w:semiHidden/>
    <w:unhideWhenUsed/>
    <w:rsid w:val="00A57748"/>
    <w:pPr>
      <w:pBdr>
        <w:top w:val="single" w:sz="2" w:space="10" w:color="92F105"/>
        <w:left w:val="single" w:sz="2" w:space="10" w:color="92F105"/>
        <w:bottom w:val="single" w:sz="2" w:space="10" w:color="92F105"/>
        <w:right w:val="single" w:sz="2" w:space="10" w:color="92F105"/>
      </w:pBdr>
      <w:ind w:left="1152" w:right="1152"/>
    </w:pPr>
    <w:rPr>
      <w:rFonts w:eastAsia="Times New Roman"/>
      <w:i/>
      <w:iCs/>
      <w:color w:val="92F105"/>
    </w:rPr>
  </w:style>
  <w:style w:type="paragraph" w:customStyle="1" w:styleId="AtchisonBodyText">
    <w:name w:val="Atchison Body Text"/>
    <w:basedOn w:val="Normal"/>
    <w:autoRedefine/>
    <w:rsid w:val="00CF6357"/>
    <w:pPr>
      <w:jc w:val="both"/>
    </w:pPr>
    <w:rPr>
      <w:bCs/>
      <w:noProof/>
      <w:color w:val="64777E"/>
    </w:rPr>
  </w:style>
  <w:style w:type="paragraph" w:customStyle="1" w:styleId="Atchison-Body-Header">
    <w:name w:val="Atchison - Body - Header"/>
    <w:basedOn w:val="AtchisonBodyText"/>
    <w:autoRedefine/>
    <w:rsid w:val="00A57748"/>
    <w:rPr>
      <w:b/>
      <w:color w:val="92F201"/>
      <w:sz w:val="24"/>
      <w:lang w:val="en-GB"/>
    </w:rPr>
  </w:style>
  <w:style w:type="paragraph" w:customStyle="1" w:styleId="Atchison-Header-Date">
    <w:name w:val="Atchison - Header - Date"/>
    <w:autoRedefine/>
    <w:rsid w:val="00A57748"/>
    <w:pPr>
      <w:widowControl w:val="0"/>
      <w:spacing w:after="120" w:line="276" w:lineRule="auto"/>
      <w:contextualSpacing/>
    </w:pPr>
    <w:rPr>
      <w:color w:val="FFFFFF"/>
      <w:sz w:val="18"/>
      <w:szCs w:val="22"/>
      <w:lang w:eastAsia="en-US"/>
    </w:rPr>
  </w:style>
  <w:style w:type="paragraph" w:customStyle="1" w:styleId="Atchison-Footer">
    <w:name w:val="Atchison-Footer"/>
    <w:link w:val="Atchison-FooterChar"/>
    <w:autoRedefine/>
    <w:rsid w:val="00A57748"/>
    <w:pPr>
      <w:spacing w:after="120" w:line="276" w:lineRule="auto"/>
    </w:pPr>
    <w:rPr>
      <w:color w:val="3B3838"/>
      <w:sz w:val="11"/>
      <w:szCs w:val="22"/>
      <w:lang w:eastAsia="en-US"/>
    </w:rPr>
  </w:style>
  <w:style w:type="character" w:customStyle="1" w:styleId="Atchison-FooterChar">
    <w:name w:val="Atchison-Footer Char"/>
    <w:link w:val="Atchison-Footer"/>
    <w:rsid w:val="00A57748"/>
    <w:rPr>
      <w:color w:val="3B3838"/>
      <w:sz w:val="11"/>
    </w:rPr>
  </w:style>
  <w:style w:type="paragraph" w:customStyle="1" w:styleId="Atchison-Contactdetails">
    <w:name w:val="Atchison-Contact details"/>
    <w:rsid w:val="00A57748"/>
    <w:pPr>
      <w:spacing w:after="120" w:line="276" w:lineRule="auto"/>
    </w:pPr>
    <w:rPr>
      <w:bCs/>
      <w:color w:val="FFFFFF"/>
      <w:sz w:val="18"/>
      <w:szCs w:val="22"/>
      <w:lang w:val="en-US" w:eastAsia="en-US"/>
    </w:rPr>
  </w:style>
  <w:style w:type="table" w:styleId="GridTable4-Accent5">
    <w:name w:val="Grid Table 4 Accent 5"/>
    <w:basedOn w:val="TableNormal"/>
    <w:uiPriority w:val="49"/>
    <w:rsid w:val="00A57748"/>
    <w:rPr>
      <w:color w:val="E7E6E6"/>
      <w:sz w:val="18"/>
    </w:rPr>
    <w:tblPr>
      <w:tblStyleRowBandSize w:val="1"/>
      <w:tblStyleColBandSize w:val="1"/>
      <w:tblBorders>
        <w:insideV w:val="single" w:sz="6" w:space="0" w:color="E7E6E6"/>
      </w:tblBorders>
    </w:tblPr>
    <w:tcPr>
      <w:shd w:val="clear" w:color="auto" w:fill="E7E6E6"/>
    </w:tcPr>
    <w:tblStylePr w:type="firstRow">
      <w:tblPr/>
      <w:tcPr>
        <w:shd w:val="clear" w:color="auto" w:fill="23575C"/>
      </w:tcPr>
    </w:tblStylePr>
    <w:tblStylePr w:type="lastRow">
      <w:rPr>
        <w:b/>
        <w:bCs/>
      </w:rPr>
      <w:tblPr/>
      <w:tcPr>
        <w:tcBorders>
          <w:top w:val="double" w:sz="4" w:space="0" w:color="1DC8F1"/>
        </w:tcBorders>
      </w:tcPr>
    </w:tblStylePr>
    <w:tblStylePr w:type="firstCol">
      <w:rPr>
        <w:b/>
        <w:bCs/>
      </w:rPr>
    </w:tblStylePr>
    <w:tblStylePr w:type="lastCol">
      <w:rPr>
        <w:b/>
        <w:bCs/>
      </w:rPr>
    </w:tblStylePr>
    <w:tblStylePr w:type="band1Vert">
      <w:tblPr/>
      <w:tcPr>
        <w:shd w:val="clear" w:color="auto" w:fill="E7E6E6"/>
      </w:tcPr>
    </w:tblStylePr>
    <w:tblStylePr w:type="band2Vert">
      <w:tblPr/>
      <w:tcPr>
        <w:shd w:val="clear" w:color="auto" w:fill="E7E6E6"/>
      </w:tcPr>
    </w:tblStylePr>
    <w:tblStylePr w:type="band1Horz">
      <w:rPr>
        <w:rFonts w:ascii="Arial" w:hAnsi="Arial"/>
        <w:b w:val="0"/>
        <w:i w:val="0"/>
        <w:color w:val="4A585E"/>
        <w:sz w:val="18"/>
      </w:rPr>
      <w:tblPr/>
      <w:tcPr>
        <w:shd w:val="clear" w:color="auto" w:fill="FDEFE2"/>
      </w:tcPr>
    </w:tblStylePr>
    <w:tblStylePr w:type="band2Horz">
      <w:tblPr/>
      <w:tcPr>
        <w:shd w:val="clear" w:color="auto" w:fill="E7E6E6"/>
      </w:tcPr>
    </w:tblStylePr>
    <w:tblStylePr w:type="nwCell">
      <w:rPr>
        <w:color w:val="E7E6E6"/>
      </w:rPr>
    </w:tblStylePr>
  </w:style>
  <w:style w:type="paragraph" w:styleId="ListParagraph">
    <w:name w:val="List Paragraph"/>
    <w:basedOn w:val="BasicParagraph"/>
    <w:uiPriority w:val="34"/>
    <w:qFormat/>
    <w:rsid w:val="00133452"/>
    <w:pPr>
      <w:contextualSpacing/>
    </w:pPr>
  </w:style>
  <w:style w:type="paragraph" w:styleId="Header">
    <w:name w:val="header"/>
    <w:basedOn w:val="Normal"/>
    <w:link w:val="HeaderChar"/>
    <w:uiPriority w:val="99"/>
    <w:unhideWhenUsed/>
    <w:rsid w:val="005F6BD8"/>
    <w:pPr>
      <w:tabs>
        <w:tab w:val="center" w:pos="4513"/>
        <w:tab w:val="right" w:pos="9026"/>
      </w:tabs>
    </w:pPr>
  </w:style>
  <w:style w:type="paragraph" w:styleId="NoSpacing">
    <w:name w:val="No Spacing"/>
    <w:link w:val="NoSpacingChar"/>
    <w:uiPriority w:val="1"/>
    <w:qFormat/>
    <w:rsid w:val="004505C2"/>
    <w:rPr>
      <w:sz w:val="22"/>
      <w:szCs w:val="22"/>
      <w:lang w:eastAsia="en-US"/>
    </w:rPr>
  </w:style>
  <w:style w:type="character" w:customStyle="1" w:styleId="NoSpacingChar">
    <w:name w:val="No Spacing Char"/>
    <w:basedOn w:val="DefaultParagraphFont"/>
    <w:link w:val="NoSpacing"/>
    <w:uiPriority w:val="1"/>
    <w:rsid w:val="004505C2"/>
  </w:style>
  <w:style w:type="numbering" w:customStyle="1" w:styleId="CurrentList1">
    <w:name w:val="Current List1"/>
    <w:uiPriority w:val="99"/>
    <w:rsid w:val="009A294C"/>
    <w:pPr>
      <w:numPr>
        <w:numId w:val="4"/>
      </w:numPr>
    </w:pPr>
  </w:style>
  <w:style w:type="numbering" w:customStyle="1" w:styleId="CurrentList2">
    <w:name w:val="Current List2"/>
    <w:uiPriority w:val="99"/>
    <w:rsid w:val="009A294C"/>
    <w:pPr>
      <w:numPr>
        <w:numId w:val="5"/>
      </w:numPr>
    </w:pPr>
  </w:style>
  <w:style w:type="character" w:customStyle="1" w:styleId="Heading1Char">
    <w:name w:val="Heading 1 Char"/>
    <w:aliases w:val="Heading 1 Char Char + Left Char,Left:  0 cm Char,First line:... Char"/>
    <w:link w:val="Heading1"/>
    <w:uiPriority w:val="9"/>
    <w:rsid w:val="00FF13A3"/>
    <w:rPr>
      <w:rFonts w:eastAsia="Times New Roman" w:cs="Times New Roman (Headings CS)"/>
      <w:b/>
      <w:bCs/>
      <w:color w:val="1C5F69"/>
      <w:sz w:val="34"/>
      <w:szCs w:val="28"/>
      <w:lang w:eastAsia="en-US"/>
    </w:rPr>
  </w:style>
  <w:style w:type="character" w:styleId="Hyperlink">
    <w:name w:val="Hyperlink"/>
    <w:uiPriority w:val="99"/>
    <w:unhideWhenUsed/>
    <w:rsid w:val="0025644B"/>
    <w:rPr>
      <w:color w:val="16A0C1"/>
      <w:u w:val="single"/>
    </w:rPr>
  </w:style>
  <w:style w:type="paragraph" w:customStyle="1" w:styleId="PersonalName">
    <w:name w:val="Personal Name"/>
    <w:basedOn w:val="Title"/>
    <w:qFormat/>
    <w:rsid w:val="004505C2"/>
    <w:rPr>
      <w:b/>
      <w:caps/>
      <w:color w:val="000000"/>
      <w:sz w:val="28"/>
      <w:szCs w:val="28"/>
    </w:rPr>
  </w:style>
  <w:style w:type="character" w:customStyle="1" w:styleId="Heading2Char">
    <w:name w:val="Heading 2 Char"/>
    <w:link w:val="Heading2"/>
    <w:uiPriority w:val="9"/>
    <w:rsid w:val="003B1B03"/>
    <w:rPr>
      <w:rFonts w:eastAsia="Times New Roman"/>
      <w:b/>
      <w:bCs/>
      <w:color w:val="1C5F69"/>
      <w:sz w:val="28"/>
      <w:szCs w:val="26"/>
      <w:lang w:eastAsia="en-US"/>
    </w:rPr>
  </w:style>
  <w:style w:type="character" w:customStyle="1" w:styleId="Heading3Char">
    <w:name w:val="Heading 3 Char"/>
    <w:aliases w:val="Level 1 - 1 Char"/>
    <w:link w:val="Heading3"/>
    <w:uiPriority w:val="9"/>
    <w:rsid w:val="00C31C53"/>
    <w:rPr>
      <w:rFonts w:eastAsia="Times New Roman"/>
      <w:b/>
      <w:bCs/>
      <w:color w:val="1C5F69"/>
      <w:szCs w:val="22"/>
      <w:lang w:eastAsia="en-US"/>
    </w:rPr>
  </w:style>
  <w:style w:type="character" w:customStyle="1" w:styleId="Heading4Char">
    <w:name w:val="Heading 4 Char"/>
    <w:link w:val="Heading4"/>
    <w:uiPriority w:val="9"/>
    <w:rsid w:val="004505C2"/>
    <w:rPr>
      <w:rFonts w:eastAsia="Times New Roman"/>
      <w:b/>
      <w:bCs/>
      <w:i/>
      <w:iCs/>
      <w:color w:val="000000"/>
      <w:sz w:val="24"/>
      <w:szCs w:val="22"/>
      <w:lang w:eastAsia="en-US"/>
    </w:rPr>
  </w:style>
  <w:style w:type="character" w:customStyle="1" w:styleId="Heading5Char">
    <w:name w:val="Heading 5 Char"/>
    <w:link w:val="Heading5"/>
    <w:uiPriority w:val="9"/>
    <w:semiHidden/>
    <w:rsid w:val="004505C2"/>
    <w:rPr>
      <w:rFonts w:eastAsia="Times New Roman"/>
      <w:color w:val="000000"/>
      <w:sz w:val="22"/>
      <w:szCs w:val="22"/>
      <w:lang w:eastAsia="en-US"/>
    </w:rPr>
  </w:style>
  <w:style w:type="character" w:customStyle="1" w:styleId="Heading6Char">
    <w:name w:val="Heading 6 Char"/>
    <w:link w:val="Heading6"/>
    <w:uiPriority w:val="9"/>
    <w:semiHidden/>
    <w:rsid w:val="004505C2"/>
    <w:rPr>
      <w:rFonts w:eastAsia="Times New Roman"/>
      <w:iCs/>
      <w:color w:val="92F105"/>
      <w:sz w:val="22"/>
      <w:szCs w:val="22"/>
      <w:lang w:eastAsia="en-US"/>
    </w:rPr>
  </w:style>
  <w:style w:type="character" w:customStyle="1" w:styleId="Heading7Char">
    <w:name w:val="Heading 7 Char"/>
    <w:link w:val="Heading7"/>
    <w:uiPriority w:val="9"/>
    <w:semiHidden/>
    <w:rsid w:val="004505C2"/>
    <w:rPr>
      <w:rFonts w:eastAsia="Times New Roman"/>
      <w:i/>
      <w:iCs/>
      <w:color w:val="000000"/>
      <w:sz w:val="22"/>
      <w:szCs w:val="22"/>
      <w:lang w:eastAsia="en-US"/>
    </w:rPr>
  </w:style>
  <w:style w:type="character" w:customStyle="1" w:styleId="Heading8Char">
    <w:name w:val="Heading 8 Char"/>
    <w:link w:val="Heading8"/>
    <w:uiPriority w:val="9"/>
    <w:semiHidden/>
    <w:rsid w:val="004505C2"/>
    <w:rPr>
      <w:rFonts w:eastAsia="Times New Roman"/>
      <w:color w:val="000000"/>
      <w:lang w:eastAsia="en-US"/>
    </w:rPr>
  </w:style>
  <w:style w:type="character" w:customStyle="1" w:styleId="Heading9Char">
    <w:name w:val="Heading 9 Char"/>
    <w:link w:val="Heading9"/>
    <w:uiPriority w:val="9"/>
    <w:semiHidden/>
    <w:rsid w:val="004505C2"/>
    <w:rPr>
      <w:rFonts w:eastAsia="Times New Roman"/>
      <w:i/>
      <w:iCs/>
      <w:color w:val="000000"/>
      <w:lang w:eastAsia="en-US"/>
    </w:rPr>
  </w:style>
  <w:style w:type="paragraph" w:styleId="Caption">
    <w:name w:val="caption"/>
    <w:basedOn w:val="Normal"/>
    <w:next w:val="Normal"/>
    <w:uiPriority w:val="35"/>
    <w:unhideWhenUsed/>
    <w:qFormat/>
    <w:rsid w:val="004505C2"/>
    <w:rPr>
      <w:rFonts w:eastAsia="Times New Roman"/>
      <w:bCs/>
      <w:smallCaps/>
      <w:color w:val="63777E"/>
      <w:spacing w:val="6"/>
      <w:sz w:val="22"/>
      <w:szCs w:val="18"/>
    </w:rPr>
  </w:style>
  <w:style w:type="paragraph" w:styleId="Subtitle">
    <w:name w:val="Subtitle"/>
    <w:aliases w:val="Norm No Spacing"/>
    <w:basedOn w:val="Normal"/>
    <w:next w:val="Normal"/>
    <w:link w:val="SubtitleChar"/>
    <w:uiPriority w:val="11"/>
    <w:qFormat/>
    <w:rsid w:val="0051469E"/>
    <w:pPr>
      <w:numPr>
        <w:ilvl w:val="1"/>
      </w:numPr>
    </w:pPr>
    <w:rPr>
      <w:rFonts w:eastAsia="Times New Roman" w:cs="Times New Roman"/>
      <w:iCs/>
      <w:color w:val="FFFFFF"/>
      <w:sz w:val="32"/>
      <w:szCs w:val="24"/>
    </w:rPr>
  </w:style>
  <w:style w:type="character" w:customStyle="1" w:styleId="SubtitleChar">
    <w:name w:val="Subtitle Char"/>
    <w:aliases w:val="Norm No Spacing Char"/>
    <w:link w:val="Subtitle"/>
    <w:uiPriority w:val="11"/>
    <w:rsid w:val="0051469E"/>
    <w:rPr>
      <w:rFonts w:eastAsia="Times New Roman"/>
      <w:iCs/>
      <w:color w:val="FFFFFF"/>
      <w:sz w:val="32"/>
      <w:szCs w:val="24"/>
      <w:lang w:eastAsia="en-US"/>
    </w:rPr>
  </w:style>
  <w:style w:type="character" w:styleId="Strong">
    <w:name w:val="Strong"/>
    <w:uiPriority w:val="22"/>
    <w:qFormat/>
    <w:rsid w:val="004505C2"/>
    <w:rPr>
      <w:b w:val="0"/>
      <w:bCs/>
      <w:i/>
      <w:color w:val="63777E"/>
    </w:rPr>
  </w:style>
  <w:style w:type="character" w:styleId="Emphasis">
    <w:name w:val="Emphasis"/>
    <w:uiPriority w:val="20"/>
    <w:qFormat/>
    <w:rsid w:val="004505C2"/>
    <w:rPr>
      <w:b/>
      <w:i/>
      <w:iCs/>
    </w:rPr>
  </w:style>
  <w:style w:type="paragraph" w:styleId="Quote">
    <w:name w:val="Quote"/>
    <w:basedOn w:val="Normal"/>
    <w:next w:val="Normal"/>
    <w:link w:val="QuoteChar"/>
    <w:uiPriority w:val="29"/>
    <w:qFormat/>
    <w:rsid w:val="004505C2"/>
    <w:pPr>
      <w:spacing w:line="360" w:lineRule="auto"/>
      <w:jc w:val="center"/>
    </w:pPr>
    <w:rPr>
      <w:rFonts w:eastAsia="Times New Roman"/>
      <w:b/>
      <w:i/>
      <w:iCs/>
      <w:color w:val="92F105"/>
      <w:sz w:val="26"/>
    </w:rPr>
  </w:style>
  <w:style w:type="character" w:customStyle="1" w:styleId="QuoteChar">
    <w:name w:val="Quote Char"/>
    <w:link w:val="Quote"/>
    <w:uiPriority w:val="29"/>
    <w:rsid w:val="004505C2"/>
    <w:rPr>
      <w:rFonts w:eastAsia="Times New Roman"/>
      <w:b/>
      <w:i/>
      <w:iCs/>
      <w:color w:val="92F105"/>
      <w:sz w:val="26"/>
    </w:rPr>
  </w:style>
  <w:style w:type="paragraph" w:styleId="IntenseQuote">
    <w:name w:val="Intense Quote"/>
    <w:basedOn w:val="Normal"/>
    <w:next w:val="Normal"/>
    <w:link w:val="IntenseQuoteChar"/>
    <w:uiPriority w:val="30"/>
    <w:qFormat/>
    <w:rsid w:val="004505C2"/>
    <w:pPr>
      <w:pBdr>
        <w:top w:val="single" w:sz="36" w:space="8" w:color="92F105"/>
        <w:left w:val="single" w:sz="36" w:space="8" w:color="92F105"/>
        <w:bottom w:val="single" w:sz="36" w:space="8" w:color="92F105"/>
        <w:right w:val="single" w:sz="36" w:space="8" w:color="92F105"/>
      </w:pBdr>
      <w:shd w:val="clear" w:color="auto" w:fill="92F105"/>
      <w:spacing w:before="200" w:after="200" w:line="360" w:lineRule="auto"/>
      <w:ind w:left="259" w:right="259"/>
      <w:jc w:val="center"/>
    </w:pPr>
    <w:rPr>
      <w:rFonts w:eastAsia="Times New Roman"/>
      <w:bCs/>
      <w:iCs/>
      <w:color w:val="FFFFFF"/>
      <w:sz w:val="28"/>
    </w:rPr>
  </w:style>
  <w:style w:type="character" w:customStyle="1" w:styleId="IntenseQuoteChar">
    <w:name w:val="Intense Quote Char"/>
    <w:link w:val="IntenseQuote"/>
    <w:uiPriority w:val="30"/>
    <w:rsid w:val="004505C2"/>
    <w:rPr>
      <w:rFonts w:ascii="Arial" w:eastAsia="Times New Roman" w:hAnsi="Arial"/>
      <w:bCs/>
      <w:iCs/>
      <w:color w:val="FFFFFF"/>
      <w:sz w:val="28"/>
      <w:shd w:val="clear" w:color="auto" w:fill="92F105"/>
    </w:rPr>
  </w:style>
  <w:style w:type="character" w:styleId="SubtleEmphasis">
    <w:name w:val="Subtle Emphasis"/>
    <w:uiPriority w:val="19"/>
    <w:qFormat/>
    <w:rsid w:val="004505C2"/>
    <w:rPr>
      <w:i/>
      <w:iCs/>
      <w:color w:val="000000"/>
    </w:rPr>
  </w:style>
  <w:style w:type="character" w:styleId="IntenseEmphasis">
    <w:name w:val="Intense Emphasis"/>
    <w:uiPriority w:val="21"/>
    <w:qFormat/>
    <w:rsid w:val="004505C2"/>
    <w:rPr>
      <w:b/>
      <w:bCs/>
      <w:i/>
      <w:iCs/>
      <w:color w:val="92F105"/>
    </w:rPr>
  </w:style>
  <w:style w:type="character" w:styleId="SubtleReference">
    <w:name w:val="Subtle Reference"/>
    <w:uiPriority w:val="31"/>
    <w:qFormat/>
    <w:rsid w:val="004505C2"/>
    <w:rPr>
      <w:smallCaps/>
      <w:color w:val="000000"/>
      <w:u w:val="single"/>
    </w:rPr>
  </w:style>
  <w:style w:type="character" w:styleId="IntenseReference">
    <w:name w:val="Intense Reference"/>
    <w:uiPriority w:val="32"/>
    <w:qFormat/>
    <w:rsid w:val="004505C2"/>
    <w:rPr>
      <w:b w:val="0"/>
      <w:bCs/>
      <w:smallCaps/>
      <w:color w:val="92F105"/>
      <w:spacing w:val="5"/>
      <w:u w:val="single"/>
    </w:rPr>
  </w:style>
  <w:style w:type="character" w:styleId="BookTitle">
    <w:name w:val="Book Title"/>
    <w:uiPriority w:val="33"/>
    <w:qFormat/>
    <w:rsid w:val="004505C2"/>
    <w:rPr>
      <w:b/>
      <w:bCs/>
      <w:caps/>
      <w:smallCaps w:val="0"/>
      <w:color w:val="63777E"/>
      <w:spacing w:val="10"/>
    </w:rPr>
  </w:style>
  <w:style w:type="numbering" w:customStyle="1" w:styleId="CurrentList3">
    <w:name w:val="Current List3"/>
    <w:uiPriority w:val="99"/>
    <w:rsid w:val="00133452"/>
    <w:pPr>
      <w:numPr>
        <w:numId w:val="6"/>
      </w:numPr>
    </w:pPr>
  </w:style>
  <w:style w:type="character" w:customStyle="1" w:styleId="HeaderChar">
    <w:name w:val="Header Char"/>
    <w:link w:val="Header"/>
    <w:uiPriority w:val="99"/>
    <w:rsid w:val="005F6BD8"/>
    <w:rPr>
      <w:rFonts w:cs="Times New Roman (Body CS)"/>
      <w:color w:val="4A585E"/>
      <w:szCs w:val="22"/>
      <w:lang w:eastAsia="en-US"/>
    </w:rPr>
  </w:style>
  <w:style w:type="paragraph" w:customStyle="1" w:styleId="Heading2-nonumbers">
    <w:name w:val="Heading 2 - no numbers"/>
    <w:basedOn w:val="Heading2"/>
    <w:qFormat/>
    <w:rsid w:val="00C31C53"/>
    <w:pPr>
      <w:numPr>
        <w:ilvl w:val="0"/>
        <w:numId w:val="0"/>
      </w:numPr>
    </w:pPr>
  </w:style>
  <w:style w:type="paragraph" w:customStyle="1" w:styleId="Heading10">
    <w:name w:val="Heading1"/>
    <w:basedOn w:val="Heading1"/>
    <w:qFormat/>
    <w:rsid w:val="008F3DAD"/>
    <w:pPr>
      <w:numPr>
        <w:numId w:val="0"/>
      </w:numPr>
      <w:spacing w:before="240" w:after="120"/>
    </w:pPr>
    <w:rPr>
      <w:color w:val="75C104"/>
    </w:rPr>
  </w:style>
  <w:style w:type="numbering" w:customStyle="1" w:styleId="CurrentList4">
    <w:name w:val="Current List4"/>
    <w:uiPriority w:val="99"/>
    <w:rsid w:val="005F6BD8"/>
    <w:pPr>
      <w:numPr>
        <w:numId w:val="7"/>
      </w:numPr>
    </w:pPr>
  </w:style>
  <w:style w:type="paragraph" w:customStyle="1" w:styleId="Heading3-nonumbers">
    <w:name w:val="Heading 3 - no numbers"/>
    <w:basedOn w:val="Heading3"/>
    <w:qFormat/>
    <w:rsid w:val="005F6BD8"/>
    <w:pPr>
      <w:numPr>
        <w:ilvl w:val="0"/>
        <w:numId w:val="0"/>
      </w:numPr>
      <w:spacing w:before="200"/>
    </w:pPr>
  </w:style>
  <w:style w:type="numbering" w:customStyle="1" w:styleId="CurrentList5">
    <w:name w:val="Current List5"/>
    <w:uiPriority w:val="99"/>
    <w:rsid w:val="005F6BD8"/>
    <w:pPr>
      <w:numPr>
        <w:numId w:val="8"/>
      </w:numPr>
    </w:pPr>
  </w:style>
  <w:style w:type="numbering" w:customStyle="1" w:styleId="AtchisonStyle">
    <w:name w:val="AtchisonStyle"/>
    <w:uiPriority w:val="99"/>
    <w:rsid w:val="000A6B34"/>
    <w:pPr>
      <w:numPr>
        <w:numId w:val="2"/>
      </w:numPr>
    </w:pPr>
  </w:style>
  <w:style w:type="table" w:styleId="GridTable4-Accent1">
    <w:name w:val="Grid Table 4 Accent 1"/>
    <w:aliases w:val="AtchisonTableFormat,Grid Table 4 - Accent 11"/>
    <w:basedOn w:val="LightList-Accent1"/>
    <w:uiPriority w:val="49"/>
    <w:rsid w:val="002001E8"/>
    <w:pPr>
      <w:jc w:val="center"/>
    </w:pPr>
    <w:tblPr/>
    <w:tcPr>
      <w:vAlign w:val="center"/>
    </w:tcPr>
    <w:tblStylePr w:type="firstRow">
      <w:pPr>
        <w:spacing w:before="0" w:after="0" w:line="240" w:lineRule="auto"/>
      </w:pPr>
      <w:rPr>
        <w:rFonts w:ascii="Calibri" w:hAnsi="Calibri"/>
        <w:b/>
        <w:bCs/>
        <w:color w:val="E7E6E6"/>
      </w:rPr>
      <w:tblPr/>
      <w:tcPr>
        <w:tcBorders>
          <w:top w:val="nil"/>
          <w:left w:val="nil"/>
          <w:bottom w:val="nil"/>
          <w:right w:val="nil"/>
          <w:insideH w:val="nil"/>
          <w:insideV w:val="nil"/>
          <w:tl2br w:val="nil"/>
          <w:tr2bl w:val="nil"/>
        </w:tcBorders>
        <w:shd w:val="clear" w:color="auto" w:fill="006699"/>
      </w:tcPr>
    </w:tblStylePr>
    <w:tblStylePr w:type="lastRow">
      <w:pPr>
        <w:spacing w:before="0" w:after="0" w:line="240" w:lineRule="auto"/>
        <w:jc w:val="center"/>
      </w:pPr>
      <w:rPr>
        <w:b/>
        <w:bCs/>
      </w:rPr>
      <w:tblPr/>
      <w:tcPr>
        <w:tcBorders>
          <w:top w:val="single" w:sz="6" w:space="0" w:color="auto"/>
          <w:left w:val="nil"/>
          <w:bottom w:val="nil"/>
          <w:right w:val="nil"/>
          <w:insideH w:val="nil"/>
          <w:insideV w:val="nil"/>
          <w:tl2br w:val="nil"/>
          <w:tr2bl w:val="nil"/>
        </w:tcBorders>
      </w:tcPr>
    </w:tblStylePr>
    <w:tblStylePr w:type="firstCol">
      <w:pPr>
        <w:jc w:val="left"/>
      </w:pPr>
      <w:rPr>
        <w:b/>
        <w:bCs/>
      </w:rPr>
      <w:tblPr/>
      <w:tcPr>
        <w:tcBorders>
          <w:top w:val="nil"/>
          <w:left w:val="nil"/>
          <w:bottom w:val="nil"/>
          <w:right w:val="nil"/>
          <w:insideH w:val="nil"/>
          <w:insideV w:val="nil"/>
          <w:tl2br w:val="nil"/>
          <w:tr2bl w:val="nil"/>
        </w:tcBorders>
      </w:tcPr>
    </w:tblStylePr>
    <w:tblStylePr w:type="lastCol">
      <w:rPr>
        <w:b w:val="0"/>
        <w:bCs/>
      </w:rPr>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nil"/>
          <w:right w:val="nil"/>
          <w:insideH w:val="nil"/>
          <w:insideV w:val="nil"/>
          <w:tl2br w:val="nil"/>
          <w:tr2bl w:val="nil"/>
        </w:tcBorders>
      </w:tcPr>
    </w:tblStylePr>
    <w:tblStylePr w:type="band1Horz">
      <w:pPr>
        <w:jc w:val="center"/>
      </w:pPr>
      <w:tblPr/>
      <w:tcPr>
        <w:tcBorders>
          <w:top w:val="nil"/>
          <w:left w:val="nil"/>
          <w:bottom w:val="nil"/>
          <w:right w:val="nil"/>
          <w:insideH w:val="nil"/>
          <w:insideV w:val="nil"/>
          <w:tl2br w:val="nil"/>
          <w:tr2bl w:val="nil"/>
        </w:tcBorders>
      </w:tcPr>
    </w:tblStylePr>
    <w:tblStylePr w:type="band2Horz">
      <w:pPr>
        <w:jc w:val="center"/>
      </w:pPr>
      <w:tblPr/>
      <w:tcPr>
        <w:tcBorders>
          <w:top w:val="nil"/>
          <w:left w:val="nil"/>
          <w:bottom w:val="nil"/>
          <w:right w:val="nil"/>
          <w:insideH w:val="nil"/>
          <w:insideV w:val="nil"/>
          <w:tl2br w:val="nil"/>
          <w:tr2bl w:val="nil"/>
        </w:tcBorders>
        <w:shd w:val="clear" w:color="auto" w:fill="CBE4ED"/>
      </w:tcPr>
    </w:tblStylePr>
    <w:tblStylePr w:type="nwCell">
      <w:pPr>
        <w:jc w:val="left"/>
      </w:pPr>
      <w:rPr>
        <w:color w:val="FFFFFF"/>
      </w:rPr>
    </w:tblStylePr>
    <w:tblStylePr w:type="swCell">
      <w:pPr>
        <w:jc w:val="left"/>
      </w:pPr>
    </w:tblStylePr>
  </w:style>
  <w:style w:type="table" w:styleId="LightList-Accent1">
    <w:name w:val="Light List Accent 1"/>
    <w:basedOn w:val="TableNormal"/>
    <w:uiPriority w:val="61"/>
    <w:semiHidden/>
    <w:unhideWhenUsed/>
    <w:rsid w:val="002001E8"/>
    <w:tblPr>
      <w:tblStyleRowBandSize w:val="1"/>
      <w:tblStyleColBandSize w:val="1"/>
      <w:tblBorders>
        <w:top w:val="single" w:sz="8" w:space="0" w:color="92F105"/>
        <w:left w:val="single" w:sz="8" w:space="0" w:color="92F105"/>
        <w:bottom w:val="single" w:sz="8" w:space="0" w:color="92F105"/>
        <w:right w:val="single" w:sz="8" w:space="0" w:color="92F105"/>
      </w:tblBorders>
    </w:tblPr>
    <w:tblStylePr w:type="firstRow">
      <w:pPr>
        <w:spacing w:before="0" w:after="0" w:line="240" w:lineRule="auto"/>
      </w:pPr>
      <w:rPr>
        <w:b/>
        <w:bCs/>
        <w:color w:val="FFFFFF"/>
      </w:rPr>
      <w:tblPr/>
      <w:tcPr>
        <w:shd w:val="clear" w:color="auto" w:fill="92F105"/>
      </w:tcPr>
    </w:tblStylePr>
    <w:tblStylePr w:type="lastRow">
      <w:pPr>
        <w:spacing w:before="0" w:after="0" w:line="240" w:lineRule="auto"/>
      </w:pPr>
      <w:rPr>
        <w:b/>
        <w:bCs/>
      </w:rPr>
      <w:tblPr/>
      <w:tcPr>
        <w:tcBorders>
          <w:top w:val="double" w:sz="6" w:space="0" w:color="92F105"/>
          <w:left w:val="single" w:sz="8" w:space="0" w:color="92F105"/>
          <w:bottom w:val="single" w:sz="8" w:space="0" w:color="92F105"/>
          <w:right w:val="single" w:sz="8" w:space="0" w:color="92F105"/>
        </w:tcBorders>
      </w:tcPr>
    </w:tblStylePr>
    <w:tblStylePr w:type="firstCol">
      <w:rPr>
        <w:b/>
        <w:bCs/>
      </w:rPr>
    </w:tblStylePr>
    <w:tblStylePr w:type="lastCol">
      <w:rPr>
        <w:b/>
        <w:bCs/>
      </w:rPr>
    </w:tblStylePr>
    <w:tblStylePr w:type="band1Vert">
      <w:tblPr/>
      <w:tcPr>
        <w:tcBorders>
          <w:top w:val="single" w:sz="8" w:space="0" w:color="92F105"/>
          <w:left w:val="single" w:sz="8" w:space="0" w:color="92F105"/>
          <w:bottom w:val="single" w:sz="8" w:space="0" w:color="92F105"/>
          <w:right w:val="single" w:sz="8" w:space="0" w:color="92F105"/>
        </w:tcBorders>
      </w:tcPr>
    </w:tblStylePr>
    <w:tblStylePr w:type="band1Horz">
      <w:tblPr/>
      <w:tcPr>
        <w:tcBorders>
          <w:top w:val="single" w:sz="8" w:space="0" w:color="92F105"/>
          <w:left w:val="single" w:sz="8" w:space="0" w:color="92F105"/>
          <w:bottom w:val="single" w:sz="8" w:space="0" w:color="92F105"/>
          <w:right w:val="single" w:sz="8" w:space="0" w:color="92F105"/>
        </w:tcBorders>
      </w:tcPr>
    </w:tblStylePr>
  </w:style>
  <w:style w:type="paragraph" w:customStyle="1" w:styleId="boldtext">
    <w:name w:val="bold text"/>
    <w:basedOn w:val="BasicParagraph"/>
    <w:qFormat/>
    <w:rsid w:val="005F6BD8"/>
    <w:pPr>
      <w:spacing w:before="100"/>
    </w:pPr>
    <w:rPr>
      <w:b/>
      <w:bCs/>
    </w:rPr>
  </w:style>
  <w:style w:type="numbering" w:customStyle="1" w:styleId="CurrentList6">
    <w:name w:val="Current List6"/>
    <w:uiPriority w:val="99"/>
    <w:rsid w:val="005F6BD8"/>
    <w:pPr>
      <w:numPr>
        <w:numId w:val="9"/>
      </w:numPr>
    </w:pPr>
  </w:style>
  <w:style w:type="paragraph" w:styleId="Footer">
    <w:name w:val="footer"/>
    <w:aliases w:val=" Char, Char Char Char Char Char Char Char Char Char, Char Char Char Char Char, Char Char Char Char Char Char Char Char, Char Char Char Char Char Char Char Char , Char Char Char Char Char Char Char"/>
    <w:basedOn w:val="Normal"/>
    <w:link w:val="FooterChar"/>
    <w:uiPriority w:val="99"/>
    <w:unhideWhenUsed/>
    <w:rsid w:val="007B4373"/>
    <w:pPr>
      <w:tabs>
        <w:tab w:val="center" w:pos="4513"/>
        <w:tab w:val="right" w:pos="9026"/>
      </w:tabs>
    </w:pPr>
  </w:style>
  <w:style w:type="character" w:customStyle="1" w:styleId="FooterChar">
    <w:name w:val="Footer Char"/>
    <w:aliases w:val=" Char Char, Char Char Char Char Char Char Char Char Char Char, Char Char Char Char Char Char, Char Char Char Char Char Char Char Char Char1, Char Char Char Char Char Char Char Char  Char, Char Char Char Char Char Char Char Char1"/>
    <w:link w:val="Footer"/>
    <w:uiPriority w:val="99"/>
    <w:rsid w:val="007B4373"/>
    <w:rPr>
      <w:rFonts w:cs="Times New Roman (Body CS)"/>
      <w:color w:val="4A585E"/>
      <w:sz w:val="20"/>
    </w:rPr>
  </w:style>
  <w:style w:type="character" w:styleId="PageNumber">
    <w:name w:val="page number"/>
    <w:basedOn w:val="DefaultParagraphFont"/>
    <w:unhideWhenUsed/>
    <w:rsid w:val="001D6606"/>
  </w:style>
  <w:style w:type="table" w:styleId="GridTable5Dark-Accent6">
    <w:name w:val="Grid Table 5 Dark Accent 6"/>
    <w:basedOn w:val="TableNormal"/>
    <w:uiPriority w:val="50"/>
    <w:rsid w:val="00D76439"/>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5FDC1"/>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75C10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75C10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75C10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75C104"/>
      </w:tcPr>
    </w:tblStylePr>
    <w:tblStylePr w:type="band1Vert">
      <w:tblPr/>
      <w:tcPr>
        <w:shd w:val="clear" w:color="auto" w:fill="CBFC84"/>
      </w:tcPr>
    </w:tblStylePr>
    <w:tblStylePr w:type="band1Horz">
      <w:tblPr/>
      <w:tcPr>
        <w:shd w:val="clear" w:color="auto" w:fill="CBFC84"/>
      </w:tcPr>
    </w:tblStylePr>
  </w:style>
  <w:style w:type="table" w:styleId="ListTable4">
    <w:name w:val="List Table 4"/>
    <w:basedOn w:val="TableNormal"/>
    <w:uiPriority w:val="49"/>
    <w:rsid w:val="00D76439"/>
    <w:tblPr>
      <w:tblStyleRowBandSize w:val="1"/>
      <w:tblStyleColBandSize w:val="1"/>
      <w:tblBorders>
        <w:top w:val="single" w:sz="4" w:space="0" w:color="7D9DAB"/>
        <w:left w:val="single" w:sz="4" w:space="0" w:color="7D9DAB"/>
        <w:bottom w:val="single" w:sz="4" w:space="0" w:color="7D9DAB"/>
        <w:right w:val="single" w:sz="4" w:space="0" w:color="7D9DAB"/>
        <w:insideH w:val="single" w:sz="4" w:space="0" w:color="7D9DAB"/>
      </w:tblBorders>
    </w:tblPr>
    <w:tblStylePr w:type="firstRow">
      <w:rPr>
        <w:b/>
        <w:bCs/>
        <w:color w:val="FFFFFF"/>
      </w:rPr>
      <w:tblPr/>
      <w:tcPr>
        <w:tcBorders>
          <w:top w:val="single" w:sz="4" w:space="0" w:color="3D545E"/>
          <w:left w:val="single" w:sz="4" w:space="0" w:color="3D545E"/>
          <w:bottom w:val="single" w:sz="4" w:space="0" w:color="3D545E"/>
          <w:right w:val="single" w:sz="4" w:space="0" w:color="3D545E"/>
          <w:insideH w:val="nil"/>
        </w:tcBorders>
        <w:shd w:val="clear" w:color="auto" w:fill="3D545E"/>
      </w:tcPr>
    </w:tblStylePr>
    <w:tblStylePr w:type="lastRow">
      <w:rPr>
        <w:b/>
        <w:bCs/>
      </w:rPr>
      <w:tblPr/>
      <w:tcPr>
        <w:tcBorders>
          <w:top w:val="double" w:sz="4" w:space="0" w:color="7D9DAB"/>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table" w:styleId="GridTable5Dark">
    <w:name w:val="Grid Table 5 Dark"/>
    <w:basedOn w:val="TableNormal"/>
    <w:uiPriority w:val="50"/>
    <w:rsid w:val="00BF2265"/>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3DEE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3D545E"/>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3D545E"/>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3D545E"/>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3D545E"/>
      </w:tcPr>
    </w:tblStylePr>
    <w:tblStylePr w:type="band1Vert">
      <w:tblPr/>
      <w:tcPr>
        <w:shd w:val="clear" w:color="auto" w:fill="A8BDC7"/>
      </w:tcPr>
    </w:tblStylePr>
    <w:tblStylePr w:type="band1Horz">
      <w:tblPr/>
      <w:tcPr>
        <w:shd w:val="clear" w:color="auto" w:fill="A8BDC7"/>
      </w:tcPr>
    </w:tblStylePr>
  </w:style>
  <w:style w:type="table" w:styleId="GridTable4">
    <w:name w:val="Grid Table 4"/>
    <w:basedOn w:val="TableNormal"/>
    <w:uiPriority w:val="49"/>
    <w:rsid w:val="00BF2265"/>
    <w:tblPr>
      <w:tblStyleRowBandSize w:val="1"/>
      <w:tblStyleColBandSize w:val="1"/>
      <w:tblBorders>
        <w:top w:val="single" w:sz="4" w:space="0" w:color="7D9DAB"/>
        <w:left w:val="single" w:sz="4" w:space="0" w:color="7D9DAB"/>
        <w:bottom w:val="single" w:sz="4" w:space="0" w:color="7D9DAB"/>
        <w:right w:val="single" w:sz="4" w:space="0" w:color="7D9DAB"/>
        <w:insideH w:val="single" w:sz="4" w:space="0" w:color="7D9DAB"/>
        <w:insideV w:val="single" w:sz="4" w:space="0" w:color="7D9DAB"/>
      </w:tblBorders>
    </w:tblPr>
    <w:tblStylePr w:type="firstRow">
      <w:rPr>
        <w:b/>
        <w:bCs/>
        <w:color w:val="FFFFFF"/>
      </w:rPr>
      <w:tblPr/>
      <w:tcPr>
        <w:tcBorders>
          <w:top w:val="single" w:sz="4" w:space="0" w:color="3D545E"/>
          <w:left w:val="single" w:sz="4" w:space="0" w:color="3D545E"/>
          <w:bottom w:val="single" w:sz="4" w:space="0" w:color="3D545E"/>
          <w:right w:val="single" w:sz="4" w:space="0" w:color="3D545E"/>
          <w:insideH w:val="nil"/>
          <w:insideV w:val="nil"/>
        </w:tcBorders>
        <w:shd w:val="clear" w:color="auto" w:fill="3D545E"/>
      </w:tcPr>
    </w:tblStylePr>
    <w:tblStylePr w:type="lastRow">
      <w:rPr>
        <w:b/>
        <w:bCs/>
      </w:rPr>
      <w:tblPr/>
      <w:tcPr>
        <w:tcBorders>
          <w:top w:val="double" w:sz="4" w:space="0" w:color="3D545E"/>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paragraph" w:customStyle="1" w:styleId="BasicParagraph">
    <w:name w:val="[Basic Paragraph]"/>
    <w:basedOn w:val="Normal"/>
    <w:uiPriority w:val="99"/>
    <w:qFormat/>
    <w:rsid w:val="005F6BD8"/>
    <w:pPr>
      <w:autoSpaceDE w:val="0"/>
      <w:autoSpaceDN w:val="0"/>
      <w:adjustRightInd w:val="0"/>
      <w:spacing w:after="100"/>
      <w:textAlignment w:val="center"/>
    </w:pPr>
    <w:rPr>
      <w:rFonts w:cs="Minion Pro"/>
      <w:color w:val="64777E"/>
      <w:szCs w:val="24"/>
      <w:lang w:val="en-US"/>
    </w:rPr>
  </w:style>
  <w:style w:type="table" w:customStyle="1" w:styleId="ListTable3-Accent11">
    <w:name w:val="List Table 3 - Accent 11"/>
    <w:basedOn w:val="TableNormal"/>
    <w:next w:val="ListTable3-Accent1"/>
    <w:uiPriority w:val="48"/>
    <w:rsid w:val="00B55051"/>
    <w:rPr>
      <w:rFonts w:ascii="Calibri" w:eastAsia="Calibri" w:hAnsi="Calibri"/>
      <w:sz w:val="22"/>
      <w:szCs w:val="22"/>
      <w:lang w:eastAsia="en-US"/>
    </w:rPr>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bCs/>
        <w:color w:val="FFFFFF"/>
      </w:rPr>
      <w:tblPr/>
      <w:tcPr>
        <w:shd w:val="clear" w:color="auto" w:fill="4472C4"/>
      </w:tcPr>
    </w:tblStylePr>
    <w:tblStylePr w:type="lastRow">
      <w:rPr>
        <w:b/>
        <w:bCs/>
      </w:rPr>
      <w:tblPr/>
      <w:tcPr>
        <w:tcBorders>
          <w:top w:val="double" w:sz="4" w:space="0" w:color="4472C4"/>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472C4"/>
          <w:right w:val="single" w:sz="4" w:space="0" w:color="4472C4"/>
        </w:tcBorders>
      </w:tcPr>
    </w:tblStylePr>
    <w:tblStylePr w:type="band1Horz">
      <w:tblPr/>
      <w:tcPr>
        <w:tcBorders>
          <w:top w:val="single" w:sz="4" w:space="0" w:color="4472C4"/>
          <w:bottom w:val="single" w:sz="4" w:space="0" w:color="4472C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left w:val="nil"/>
        </w:tcBorders>
      </w:tcPr>
    </w:tblStylePr>
    <w:tblStylePr w:type="swCell">
      <w:tblPr/>
      <w:tcPr>
        <w:tcBorders>
          <w:top w:val="double" w:sz="4" w:space="0" w:color="4472C4"/>
          <w:right w:val="nil"/>
        </w:tcBorders>
      </w:tcPr>
    </w:tblStylePr>
  </w:style>
  <w:style w:type="table" w:styleId="ListTable3-Accent1">
    <w:name w:val="List Table 3 Accent 1"/>
    <w:basedOn w:val="TableNormal"/>
    <w:uiPriority w:val="48"/>
    <w:rsid w:val="00B55051"/>
    <w:tblPr>
      <w:tblStyleRowBandSize w:val="1"/>
      <w:tblStyleColBandSize w:val="1"/>
      <w:tblBorders>
        <w:top w:val="single" w:sz="4" w:space="0" w:color="92F105" w:themeColor="accent1"/>
        <w:left w:val="single" w:sz="4" w:space="0" w:color="92F105" w:themeColor="accent1"/>
        <w:bottom w:val="single" w:sz="4" w:space="0" w:color="92F105" w:themeColor="accent1"/>
        <w:right w:val="single" w:sz="4" w:space="0" w:color="92F105" w:themeColor="accent1"/>
      </w:tblBorders>
    </w:tblPr>
    <w:tblStylePr w:type="firstRow">
      <w:rPr>
        <w:b/>
        <w:bCs/>
        <w:color w:val="FFFFFF" w:themeColor="background1"/>
      </w:rPr>
      <w:tblPr/>
      <w:tcPr>
        <w:shd w:val="clear" w:color="auto" w:fill="92F105" w:themeFill="accent1"/>
      </w:tcPr>
    </w:tblStylePr>
    <w:tblStylePr w:type="lastRow">
      <w:rPr>
        <w:b/>
        <w:bCs/>
      </w:rPr>
      <w:tblPr/>
      <w:tcPr>
        <w:tcBorders>
          <w:top w:val="double" w:sz="4" w:space="0" w:color="92F10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2F105" w:themeColor="accent1"/>
          <w:right w:val="single" w:sz="4" w:space="0" w:color="92F105" w:themeColor="accent1"/>
        </w:tcBorders>
      </w:tcPr>
    </w:tblStylePr>
    <w:tblStylePr w:type="band1Horz">
      <w:tblPr/>
      <w:tcPr>
        <w:tcBorders>
          <w:top w:val="single" w:sz="4" w:space="0" w:color="92F105" w:themeColor="accent1"/>
          <w:bottom w:val="single" w:sz="4" w:space="0" w:color="92F10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2F105" w:themeColor="accent1"/>
          <w:left w:val="nil"/>
        </w:tcBorders>
      </w:tcPr>
    </w:tblStylePr>
    <w:tblStylePr w:type="swCell">
      <w:tblPr/>
      <w:tcPr>
        <w:tcBorders>
          <w:top w:val="double" w:sz="4" w:space="0" w:color="92F105" w:themeColor="accent1"/>
          <w:right w:val="nil"/>
        </w:tcBorders>
      </w:tcPr>
    </w:tblStylePr>
  </w:style>
  <w:style w:type="paragraph" w:styleId="TOCHeading">
    <w:name w:val="TOC Heading"/>
    <w:basedOn w:val="Heading1"/>
    <w:next w:val="Normal"/>
    <w:uiPriority w:val="39"/>
    <w:unhideWhenUsed/>
    <w:qFormat/>
    <w:rsid w:val="001D529D"/>
    <w:pPr>
      <w:numPr>
        <w:numId w:val="0"/>
      </w:numPr>
      <w:spacing w:before="240" w:after="0" w:line="259" w:lineRule="auto"/>
      <w:outlineLvl w:val="9"/>
    </w:pPr>
    <w:rPr>
      <w:rFonts w:asciiTheme="majorHAnsi" w:eastAsiaTheme="majorEastAsia" w:hAnsiTheme="majorHAnsi" w:cstheme="majorBidi"/>
      <w:bCs w:val="0"/>
      <w:color w:val="6CB403" w:themeColor="accent1" w:themeShade="BF"/>
      <w:sz w:val="32"/>
      <w:szCs w:val="32"/>
      <w:lang w:val="en-US"/>
    </w:rPr>
  </w:style>
  <w:style w:type="paragraph" w:styleId="TOC1">
    <w:name w:val="toc 1"/>
    <w:basedOn w:val="Normal"/>
    <w:next w:val="Normal"/>
    <w:autoRedefine/>
    <w:uiPriority w:val="39"/>
    <w:unhideWhenUsed/>
    <w:rsid w:val="001D529D"/>
    <w:pPr>
      <w:tabs>
        <w:tab w:val="left" w:pos="440"/>
        <w:tab w:val="right" w:leader="dot" w:pos="9628"/>
      </w:tabs>
      <w:spacing w:after="100"/>
    </w:pPr>
    <w:rPr>
      <w:rFonts w:asciiTheme="minorHAnsi" w:eastAsiaTheme="minorHAnsi" w:hAnsiTheme="minorHAnsi" w:cstheme="minorBidi"/>
      <w:b/>
      <w:noProof/>
      <w:color w:val="608493" w:themeColor="text1" w:themeTint="BF"/>
      <w:sz w:val="22"/>
    </w:rPr>
  </w:style>
  <w:style w:type="paragraph" w:customStyle="1" w:styleId="HeaderOddPage">
    <w:name w:val="Header Odd Page"/>
    <w:unhideWhenUsed/>
    <w:rsid w:val="002669A4"/>
    <w:pPr>
      <w:pBdr>
        <w:bottom w:val="single" w:sz="18" w:space="3" w:color="C0C0C0"/>
      </w:pBdr>
      <w:tabs>
        <w:tab w:val="right" w:pos="9214"/>
      </w:tabs>
      <w:spacing w:before="240"/>
    </w:pPr>
    <w:rPr>
      <w:rFonts w:eastAsia="Times New Roman" w:cs="Arial"/>
      <w:bCs/>
      <w:sz w:val="18"/>
      <w:szCs w:val="18"/>
      <w:lang w:eastAsia="en-AU"/>
    </w:rPr>
  </w:style>
  <w:style w:type="table" w:styleId="TableGrid">
    <w:name w:val="Table Grid"/>
    <w:basedOn w:val="TableNormal"/>
    <w:uiPriority w:val="59"/>
    <w:unhideWhenUsed/>
    <w:rsid w:val="002669A4"/>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11">
    <w:name w:val="Grid Table 1 Light - Accent 11"/>
    <w:basedOn w:val="TableNormal"/>
    <w:uiPriority w:val="46"/>
    <w:rsid w:val="002669A4"/>
    <w:rPr>
      <w:rFonts w:asciiTheme="minorHAnsi" w:eastAsiaTheme="minorHAnsi" w:hAnsiTheme="minorHAnsi" w:cstheme="minorBidi"/>
      <w:sz w:val="22"/>
      <w:szCs w:val="22"/>
      <w:lang w:eastAsia="en-US"/>
    </w:rPr>
    <w:tblPr>
      <w:tblStyleRowBandSize w:val="1"/>
      <w:tblStyleColBandSize w:val="1"/>
      <w:tblBorders>
        <w:top w:val="single" w:sz="4" w:space="0" w:color="D3FC97" w:themeColor="accent1" w:themeTint="66"/>
        <w:left w:val="single" w:sz="4" w:space="0" w:color="D3FC97" w:themeColor="accent1" w:themeTint="66"/>
        <w:bottom w:val="single" w:sz="4" w:space="0" w:color="D3FC97" w:themeColor="accent1" w:themeTint="66"/>
        <w:right w:val="single" w:sz="4" w:space="0" w:color="D3FC97" w:themeColor="accent1" w:themeTint="66"/>
        <w:insideH w:val="single" w:sz="4" w:space="0" w:color="D3FC97" w:themeColor="accent1" w:themeTint="66"/>
        <w:insideV w:val="single" w:sz="4" w:space="0" w:color="D3FC97" w:themeColor="accent1" w:themeTint="66"/>
      </w:tblBorders>
    </w:tblPr>
    <w:tblStylePr w:type="firstRow">
      <w:rPr>
        <w:b/>
        <w:bCs/>
      </w:rPr>
      <w:tblPr/>
      <w:tcPr>
        <w:tcBorders>
          <w:bottom w:val="single" w:sz="12" w:space="0" w:color="BEFB63" w:themeColor="accent1" w:themeTint="99"/>
        </w:tcBorders>
      </w:tcPr>
    </w:tblStylePr>
    <w:tblStylePr w:type="lastRow">
      <w:rPr>
        <w:b/>
        <w:bCs/>
      </w:rPr>
      <w:tblPr/>
      <w:tcPr>
        <w:tcBorders>
          <w:top w:val="double" w:sz="2" w:space="0" w:color="BEFB63" w:themeColor="accent1" w:themeTint="99"/>
        </w:tcBorders>
      </w:tcPr>
    </w:tblStylePr>
    <w:tblStylePr w:type="firstCol">
      <w:rPr>
        <w:b/>
        <w:bCs/>
      </w:rPr>
    </w:tblStylePr>
    <w:tblStylePr w:type="lastCol">
      <w:rPr>
        <w:b/>
        <w:bCs/>
      </w:rPr>
    </w:tblStylePr>
  </w:style>
  <w:style w:type="paragraph" w:styleId="TOC2">
    <w:name w:val="toc 2"/>
    <w:basedOn w:val="Normal"/>
    <w:next w:val="Normal"/>
    <w:autoRedefine/>
    <w:uiPriority w:val="39"/>
    <w:unhideWhenUsed/>
    <w:qFormat/>
    <w:rsid w:val="002669A4"/>
    <w:pPr>
      <w:spacing w:after="100"/>
      <w:ind w:left="220"/>
    </w:pPr>
    <w:rPr>
      <w:rFonts w:asciiTheme="minorHAnsi" w:eastAsiaTheme="minorHAnsi" w:hAnsiTheme="minorHAnsi" w:cstheme="minorBidi"/>
      <w:color w:val="608493" w:themeColor="text1" w:themeTint="BF"/>
      <w:sz w:val="22"/>
    </w:rPr>
  </w:style>
  <w:style w:type="paragraph" w:styleId="TOC3">
    <w:name w:val="toc 3"/>
    <w:basedOn w:val="Normal"/>
    <w:next w:val="Normal"/>
    <w:autoRedefine/>
    <w:uiPriority w:val="39"/>
    <w:unhideWhenUsed/>
    <w:rsid w:val="002669A4"/>
    <w:pPr>
      <w:spacing w:after="100"/>
      <w:ind w:left="440"/>
    </w:pPr>
    <w:rPr>
      <w:rFonts w:asciiTheme="minorHAnsi" w:eastAsiaTheme="minorHAnsi" w:hAnsiTheme="minorHAnsi" w:cstheme="minorBidi"/>
      <w:color w:val="608493" w:themeColor="text1" w:themeTint="BF"/>
      <w:sz w:val="22"/>
    </w:rPr>
  </w:style>
  <w:style w:type="paragraph" w:styleId="BalloonText">
    <w:name w:val="Balloon Text"/>
    <w:basedOn w:val="Normal"/>
    <w:link w:val="BalloonTextChar"/>
    <w:uiPriority w:val="99"/>
    <w:semiHidden/>
    <w:unhideWhenUsed/>
    <w:rsid w:val="002669A4"/>
    <w:rPr>
      <w:rFonts w:ascii="Segoe UI" w:eastAsiaTheme="minorHAnsi" w:hAnsi="Segoe UI" w:cs="Segoe UI"/>
      <w:color w:val="608493" w:themeColor="text1" w:themeTint="BF"/>
      <w:sz w:val="18"/>
      <w:szCs w:val="18"/>
    </w:rPr>
  </w:style>
  <w:style w:type="character" w:customStyle="1" w:styleId="BalloonTextChar">
    <w:name w:val="Balloon Text Char"/>
    <w:basedOn w:val="DefaultParagraphFont"/>
    <w:link w:val="BalloonText"/>
    <w:uiPriority w:val="99"/>
    <w:semiHidden/>
    <w:rsid w:val="002669A4"/>
    <w:rPr>
      <w:rFonts w:ascii="Segoe UI" w:eastAsiaTheme="minorHAnsi" w:hAnsi="Segoe UI" w:cs="Segoe UI"/>
      <w:color w:val="608493" w:themeColor="text1" w:themeTint="BF"/>
      <w:sz w:val="18"/>
      <w:szCs w:val="18"/>
      <w:lang w:eastAsia="en-US"/>
    </w:rPr>
  </w:style>
  <w:style w:type="character" w:styleId="PlaceholderText">
    <w:name w:val="Placeholder Text"/>
    <w:basedOn w:val="DefaultParagraphFont"/>
    <w:uiPriority w:val="99"/>
    <w:semiHidden/>
    <w:rsid w:val="002669A4"/>
    <w:rPr>
      <w:color w:val="808080"/>
    </w:rPr>
  </w:style>
  <w:style w:type="paragraph" w:styleId="FootnoteText">
    <w:name w:val="footnote text"/>
    <w:basedOn w:val="Normal"/>
    <w:link w:val="FootnoteTextChar"/>
    <w:uiPriority w:val="99"/>
    <w:semiHidden/>
    <w:unhideWhenUsed/>
    <w:rsid w:val="002669A4"/>
    <w:rPr>
      <w:rFonts w:asciiTheme="minorHAnsi" w:eastAsiaTheme="minorHAnsi" w:hAnsiTheme="minorHAnsi" w:cstheme="minorBidi"/>
      <w:color w:val="608493" w:themeColor="text1" w:themeTint="BF"/>
      <w:szCs w:val="20"/>
    </w:rPr>
  </w:style>
  <w:style w:type="character" w:customStyle="1" w:styleId="FootnoteTextChar">
    <w:name w:val="Footnote Text Char"/>
    <w:basedOn w:val="DefaultParagraphFont"/>
    <w:link w:val="FootnoteText"/>
    <w:uiPriority w:val="99"/>
    <w:semiHidden/>
    <w:rsid w:val="002669A4"/>
    <w:rPr>
      <w:rFonts w:asciiTheme="minorHAnsi" w:eastAsiaTheme="minorHAnsi" w:hAnsiTheme="minorHAnsi" w:cstheme="minorBidi"/>
      <w:color w:val="608493" w:themeColor="text1" w:themeTint="BF"/>
      <w:lang w:eastAsia="en-US"/>
    </w:rPr>
  </w:style>
  <w:style w:type="character" w:styleId="FootnoteReference">
    <w:name w:val="footnote reference"/>
    <w:basedOn w:val="DefaultParagraphFont"/>
    <w:uiPriority w:val="99"/>
    <w:semiHidden/>
    <w:unhideWhenUsed/>
    <w:rsid w:val="002669A4"/>
    <w:rPr>
      <w:vertAlign w:val="superscript"/>
    </w:rPr>
  </w:style>
  <w:style w:type="paragraph" w:customStyle="1" w:styleId="Default">
    <w:name w:val="Default"/>
    <w:rsid w:val="002669A4"/>
    <w:pPr>
      <w:autoSpaceDE w:val="0"/>
      <w:autoSpaceDN w:val="0"/>
      <w:adjustRightInd w:val="0"/>
    </w:pPr>
    <w:rPr>
      <w:rFonts w:ascii="Times New Roman" w:eastAsia="MS Mincho" w:hAnsi="Times New Roman"/>
      <w:color w:val="000000"/>
      <w:sz w:val="24"/>
      <w:szCs w:val="24"/>
      <w:lang w:eastAsia="en-AU"/>
    </w:rPr>
  </w:style>
  <w:style w:type="character" w:styleId="CommentReference">
    <w:name w:val="annotation reference"/>
    <w:basedOn w:val="DefaultParagraphFont"/>
    <w:uiPriority w:val="99"/>
    <w:semiHidden/>
    <w:unhideWhenUsed/>
    <w:rsid w:val="002669A4"/>
    <w:rPr>
      <w:sz w:val="16"/>
      <w:szCs w:val="16"/>
    </w:rPr>
  </w:style>
  <w:style w:type="paragraph" w:styleId="CommentText">
    <w:name w:val="annotation text"/>
    <w:basedOn w:val="Normal"/>
    <w:link w:val="CommentTextChar"/>
    <w:uiPriority w:val="99"/>
    <w:semiHidden/>
    <w:unhideWhenUsed/>
    <w:rsid w:val="002669A4"/>
    <w:pPr>
      <w:spacing w:after="200"/>
    </w:pPr>
    <w:rPr>
      <w:rFonts w:asciiTheme="minorHAnsi" w:eastAsiaTheme="minorHAnsi" w:hAnsiTheme="minorHAnsi" w:cstheme="minorBidi"/>
      <w:color w:val="608493" w:themeColor="text1" w:themeTint="BF"/>
      <w:szCs w:val="20"/>
    </w:rPr>
  </w:style>
  <w:style w:type="character" w:customStyle="1" w:styleId="CommentTextChar">
    <w:name w:val="Comment Text Char"/>
    <w:basedOn w:val="DefaultParagraphFont"/>
    <w:link w:val="CommentText"/>
    <w:uiPriority w:val="99"/>
    <w:semiHidden/>
    <w:rsid w:val="002669A4"/>
    <w:rPr>
      <w:rFonts w:asciiTheme="minorHAnsi" w:eastAsiaTheme="minorHAnsi" w:hAnsiTheme="minorHAnsi" w:cstheme="minorBidi"/>
      <w:color w:val="608493" w:themeColor="text1" w:themeTint="BF"/>
      <w:lang w:eastAsia="en-US"/>
    </w:rPr>
  </w:style>
  <w:style w:type="paragraph" w:styleId="CommentSubject">
    <w:name w:val="annotation subject"/>
    <w:basedOn w:val="CommentText"/>
    <w:next w:val="CommentText"/>
    <w:link w:val="CommentSubjectChar"/>
    <w:uiPriority w:val="99"/>
    <w:semiHidden/>
    <w:unhideWhenUsed/>
    <w:rsid w:val="002669A4"/>
    <w:rPr>
      <w:b/>
      <w:bCs/>
    </w:rPr>
  </w:style>
  <w:style w:type="character" w:customStyle="1" w:styleId="CommentSubjectChar">
    <w:name w:val="Comment Subject Char"/>
    <w:basedOn w:val="CommentTextChar"/>
    <w:link w:val="CommentSubject"/>
    <w:uiPriority w:val="99"/>
    <w:semiHidden/>
    <w:rsid w:val="002669A4"/>
    <w:rPr>
      <w:rFonts w:asciiTheme="minorHAnsi" w:eastAsiaTheme="minorHAnsi" w:hAnsiTheme="minorHAnsi" w:cstheme="minorBidi"/>
      <w:b/>
      <w:bCs/>
      <w:color w:val="608493" w:themeColor="text1" w:themeTint="BF"/>
      <w:lang w:eastAsia="en-US"/>
    </w:rPr>
  </w:style>
  <w:style w:type="table" w:styleId="TableWeb2">
    <w:name w:val="Table Web 2"/>
    <w:basedOn w:val="TableNormal"/>
    <w:uiPriority w:val="99"/>
    <w:rsid w:val="002669A4"/>
    <w:pPr>
      <w:spacing w:after="200" w:line="276" w:lineRule="auto"/>
    </w:pPr>
    <w:rPr>
      <w:rFonts w:asciiTheme="minorHAnsi" w:eastAsiaTheme="minorHAnsi" w:hAnsiTheme="minorHAnsi" w:cstheme="minorBidi"/>
      <w:sz w:val="22"/>
      <w:szCs w:val="22"/>
      <w:lang w:eastAsia="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GridTable5Dark-Accent31">
    <w:name w:val="Grid Table 5 Dark - Accent 31"/>
    <w:basedOn w:val="TableNormal"/>
    <w:uiPriority w:val="50"/>
    <w:rsid w:val="002669A4"/>
    <w:rPr>
      <w:rFonts w:asciiTheme="minorHAnsi" w:eastAsiaTheme="minorHAnsi" w:hAnsiTheme="minorHAnsi" w:cstheme="minorBidi"/>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7EAEB"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999D"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999D"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999D"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999D" w:themeFill="accent3"/>
      </w:tcPr>
    </w:tblStylePr>
    <w:tblStylePr w:type="band1Vert">
      <w:tblPr/>
      <w:tcPr>
        <w:shd w:val="clear" w:color="auto" w:fill="D0D6D7" w:themeFill="accent3" w:themeFillTint="66"/>
      </w:tcPr>
    </w:tblStylePr>
    <w:tblStylePr w:type="band1Horz">
      <w:tblPr/>
      <w:tcPr>
        <w:shd w:val="clear" w:color="auto" w:fill="D0D6D7" w:themeFill="accent3" w:themeFillTint="66"/>
      </w:tcPr>
    </w:tblStylePr>
  </w:style>
  <w:style w:type="table" w:customStyle="1" w:styleId="GridTable5Dark-Accent32">
    <w:name w:val="Grid Table 5 Dark - Accent 32"/>
    <w:basedOn w:val="TableNormal"/>
    <w:uiPriority w:val="50"/>
    <w:rsid w:val="002669A4"/>
    <w:rPr>
      <w:rFonts w:asciiTheme="minorHAnsi" w:eastAsiaTheme="minorHAnsi" w:hAnsiTheme="minorHAnsi" w:cstheme="minorBidi"/>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7EAEB"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999D"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999D"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999D"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999D" w:themeFill="accent3"/>
      </w:tcPr>
    </w:tblStylePr>
    <w:tblStylePr w:type="band1Vert">
      <w:tblPr/>
      <w:tcPr>
        <w:shd w:val="clear" w:color="auto" w:fill="D0D6D7" w:themeFill="accent3" w:themeFillTint="66"/>
      </w:tcPr>
    </w:tblStylePr>
    <w:tblStylePr w:type="band1Horz">
      <w:tblPr/>
      <w:tcPr>
        <w:shd w:val="clear" w:color="auto" w:fill="D0D6D7" w:themeFill="accent3" w:themeFillTint="66"/>
      </w:tcPr>
    </w:tblStylePr>
  </w:style>
  <w:style w:type="paragraph" w:styleId="Revision">
    <w:name w:val="Revision"/>
    <w:hidden/>
    <w:uiPriority w:val="99"/>
    <w:semiHidden/>
    <w:rsid w:val="002669A4"/>
    <w:rPr>
      <w:rFonts w:asciiTheme="minorHAnsi" w:eastAsiaTheme="minorHAnsi" w:hAnsiTheme="minorHAnsi" w:cstheme="minorBidi"/>
      <w:color w:val="608493" w:themeColor="text1" w:themeTint="BF"/>
      <w:sz w:val="22"/>
      <w:szCs w:val="22"/>
      <w:lang w:eastAsia="en-US"/>
    </w:rPr>
  </w:style>
  <w:style w:type="character" w:styleId="UnresolvedMention">
    <w:name w:val="Unresolved Mention"/>
    <w:basedOn w:val="DefaultParagraphFont"/>
    <w:uiPriority w:val="99"/>
    <w:semiHidden/>
    <w:unhideWhenUsed/>
    <w:rsid w:val="00AE1753"/>
    <w:rPr>
      <w:color w:val="605E5C"/>
      <w:shd w:val="clear" w:color="auto" w:fill="E1DFDD"/>
    </w:rPr>
  </w:style>
  <w:style w:type="paragraph" w:customStyle="1" w:styleId="Introductionparagraph">
    <w:name w:val="Introduction paragraph"/>
    <w:basedOn w:val="BasicParagraph"/>
    <w:qFormat/>
    <w:rsid w:val="00C61941"/>
    <w:pPr>
      <w:snapToGrid w:val="0"/>
      <w:spacing w:after="120"/>
    </w:pPr>
    <w:rPr>
      <w:bCs/>
      <w:iCs/>
      <w:sz w:val="24"/>
      <w:szCs w:val="16"/>
      <w:lang w:val="en-GB"/>
    </w:rPr>
  </w:style>
  <w:style w:type="paragraph" w:customStyle="1" w:styleId="Table1">
    <w:name w:val="Table1"/>
    <w:basedOn w:val="Normal"/>
    <w:link w:val="Table1Char"/>
    <w:qFormat/>
    <w:rsid w:val="004404AE"/>
    <w:rPr>
      <w:szCs w:val="20"/>
    </w:rPr>
  </w:style>
  <w:style w:type="character" w:customStyle="1" w:styleId="Table1Char">
    <w:name w:val="Table1 Char"/>
    <w:basedOn w:val="DefaultParagraphFont"/>
    <w:link w:val="Table1"/>
    <w:rsid w:val="004404AE"/>
    <w:rPr>
      <w:rFonts w:cs="Times New Roman (Body CS)"/>
      <w:color w:val="4A585E"/>
      <w:lang w:eastAsia="en-US"/>
    </w:rPr>
  </w:style>
  <w:style w:type="table" w:customStyle="1" w:styleId="AtchisonTable1">
    <w:name w:val="AtchisonTable1"/>
    <w:basedOn w:val="TableNormal"/>
    <w:uiPriority w:val="99"/>
    <w:rsid w:val="003D68AD"/>
    <w:pPr>
      <w:jc w:val="center"/>
    </w:pPr>
    <w:rPr>
      <w:color w:val="1C5F69"/>
      <w:sz w:val="18"/>
    </w:rPr>
    <w:tblPr>
      <w:tblBorders>
        <w:bottom w:val="single" w:sz="4" w:space="0" w:color="8A999D" w:themeColor="accent3"/>
        <w:insideH w:val="single" w:sz="4" w:space="0" w:color="8A999D" w:themeColor="accent3"/>
      </w:tblBorders>
    </w:tblPr>
    <w:tcPr>
      <w:vAlign w:val="center"/>
    </w:tcPr>
    <w:tblStylePr w:type="firstRow">
      <w:pPr>
        <w:jc w:val="center"/>
      </w:pPr>
      <w:rPr>
        <w:rFonts w:ascii="Arial" w:hAnsi="Arial"/>
        <w:b/>
        <w:color w:val="FFFFFF" w:themeColor="background1"/>
        <w:sz w:val="18"/>
      </w:rPr>
      <w:tblPr/>
      <w:tcPr>
        <w:shd w:val="clear" w:color="auto" w:fill="63777E"/>
      </w:tcPr>
    </w:tblStylePr>
    <w:tblStylePr w:type="lastRow">
      <w:rPr>
        <w:rFonts w:ascii="Arial" w:hAnsi="Arial"/>
        <w:sz w:val="18"/>
      </w:rPr>
    </w:tblStylePr>
    <w:tblStylePr w:type="firstCol">
      <w:pPr>
        <w:jc w:val="left"/>
      </w:pPr>
      <w:rPr>
        <w:color w:val="64777E"/>
      </w:rPr>
      <w:tblPr/>
      <w:tcPr>
        <w:shd w:val="clear" w:color="auto" w:fill="F1FDE0"/>
      </w:tcPr>
    </w:tblStylePr>
  </w:style>
  <w:style w:type="table" w:styleId="TableGridLight">
    <w:name w:val="Grid Table Light"/>
    <w:basedOn w:val="TableNormal"/>
    <w:uiPriority w:val="40"/>
    <w:rsid w:val="00CC25E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NewAtchison">
    <w:name w:val="New Atchison"/>
    <w:basedOn w:val="TableNormal"/>
    <w:uiPriority w:val="99"/>
    <w:rsid w:val="003A75A7"/>
    <w:tblPr/>
  </w:style>
  <w:style w:type="table" w:customStyle="1" w:styleId="Style2">
    <w:name w:val="Style2"/>
    <w:basedOn w:val="NewAtchison"/>
    <w:uiPriority w:val="99"/>
    <w:rsid w:val="004E523F"/>
    <w:tblPr/>
  </w:style>
  <w:style w:type="table" w:customStyle="1" w:styleId="Atchison2">
    <w:name w:val="Atchison 2"/>
    <w:basedOn w:val="TableNormal"/>
    <w:uiPriority w:val="99"/>
    <w:rsid w:val="00825259"/>
    <w:tblPr/>
  </w:style>
  <w:style w:type="table" w:customStyle="1" w:styleId="Style4">
    <w:name w:val="Style4"/>
    <w:basedOn w:val="TableNormal"/>
    <w:uiPriority w:val="99"/>
    <w:rsid w:val="00825259"/>
    <w:tblPr/>
  </w:style>
  <w:style w:type="paragraph" w:customStyle="1" w:styleId="BodyStyle">
    <w:name w:val="BodyStyle"/>
    <w:basedOn w:val="Normal"/>
    <w:link w:val="BodyStyleChar"/>
    <w:qFormat/>
    <w:rsid w:val="00DD739B"/>
    <w:pPr>
      <w:spacing w:after="120" w:line="360" w:lineRule="auto"/>
    </w:pPr>
    <w:rPr>
      <w:color w:val="1C5F69"/>
      <w:sz w:val="18"/>
      <w:szCs w:val="32"/>
    </w:rPr>
  </w:style>
  <w:style w:type="character" w:customStyle="1" w:styleId="BodyStyleChar">
    <w:name w:val="BodyStyle Char"/>
    <w:basedOn w:val="DefaultParagraphFont"/>
    <w:link w:val="BodyStyle"/>
    <w:rsid w:val="00DD739B"/>
    <w:rPr>
      <w:rFonts w:cs="Times New Roman (Body CS)"/>
      <w:color w:val="1C5F69"/>
      <w:sz w:val="18"/>
      <w:szCs w:val="32"/>
      <w:lang w:eastAsia="en-US"/>
    </w:rPr>
  </w:style>
  <w:style w:type="paragraph" w:customStyle="1" w:styleId="Heading30">
    <w:name w:val="Heading3"/>
    <w:basedOn w:val="Normal"/>
    <w:link w:val="Heading3Char0"/>
    <w:qFormat/>
    <w:rsid w:val="00800868"/>
    <w:pPr>
      <w:spacing w:before="240"/>
    </w:pPr>
    <w:rPr>
      <w:b/>
      <w:i/>
      <w:color w:val="75C104" w:themeColor="accent6"/>
      <w:sz w:val="18"/>
    </w:rPr>
  </w:style>
  <w:style w:type="character" w:customStyle="1" w:styleId="Heading3Char0">
    <w:name w:val="Heading3 Char"/>
    <w:basedOn w:val="DefaultParagraphFont"/>
    <w:link w:val="Heading30"/>
    <w:rsid w:val="00800868"/>
    <w:rPr>
      <w:rFonts w:cs="Times New Roman (Body CS)"/>
      <w:b/>
      <w:i/>
      <w:color w:val="75C104" w:themeColor="accent6"/>
      <w:sz w:val="18"/>
      <w:szCs w:val="22"/>
      <w:lang w:eastAsia="en-US"/>
    </w:rPr>
  </w:style>
  <w:style w:type="paragraph" w:customStyle="1" w:styleId="Mark1">
    <w:name w:val="Mark1"/>
    <w:link w:val="Mark1Char"/>
    <w:qFormat/>
    <w:rsid w:val="008855EA"/>
    <w:pPr>
      <w:shd w:val="clear" w:color="auto" w:fill="F1FDE0"/>
    </w:pPr>
    <w:rPr>
      <w:rFonts w:cs="Times New Roman (Body CS)"/>
      <w:b/>
      <w:color w:val="76C204"/>
      <w:sz w:val="18"/>
      <w:szCs w:val="32"/>
      <w:lang w:eastAsia="en-US"/>
    </w:rPr>
  </w:style>
  <w:style w:type="character" w:customStyle="1" w:styleId="Mark1Char">
    <w:name w:val="Mark1 Char"/>
    <w:basedOn w:val="DefaultParagraphFont"/>
    <w:link w:val="Mark1"/>
    <w:rsid w:val="008855EA"/>
    <w:rPr>
      <w:rFonts w:cs="Times New Roman (Body CS)"/>
      <w:b/>
      <w:color w:val="76C204"/>
      <w:sz w:val="18"/>
      <w:szCs w:val="32"/>
      <w:shd w:val="clear" w:color="auto" w:fill="F1FDE0"/>
      <w:lang w:eastAsia="en-US"/>
    </w:rPr>
  </w:style>
  <w:style w:type="paragraph" w:customStyle="1" w:styleId="Mark2">
    <w:name w:val="Mark2"/>
    <w:basedOn w:val="Mark1"/>
    <w:link w:val="Mark2Char"/>
    <w:qFormat/>
    <w:rsid w:val="00FB356D"/>
    <w:pPr>
      <w:shd w:val="clear" w:color="auto" w:fill="FFCDCD"/>
    </w:pPr>
    <w:rPr>
      <w:color w:val="C00000"/>
    </w:rPr>
  </w:style>
  <w:style w:type="character" w:customStyle="1" w:styleId="Mark2Char">
    <w:name w:val="Mark2 Char"/>
    <w:basedOn w:val="Mark1Char"/>
    <w:link w:val="Mark2"/>
    <w:rsid w:val="00FB356D"/>
    <w:rPr>
      <w:rFonts w:cs="Times New Roman (Body CS)"/>
      <w:b/>
      <w:color w:val="C00000"/>
      <w:sz w:val="18"/>
      <w:szCs w:val="32"/>
      <w:shd w:val="clear" w:color="auto" w:fill="FFCDCD"/>
      <w:lang w:eastAsia="en-US"/>
    </w:rPr>
  </w:style>
  <w:style w:type="paragraph" w:customStyle="1" w:styleId="Note">
    <w:name w:val="Note"/>
    <w:basedOn w:val="Normal"/>
    <w:link w:val="NoteChar"/>
    <w:qFormat/>
    <w:rsid w:val="00EC148D"/>
    <w:rPr>
      <w:i/>
      <w:color w:val="1C5F69"/>
      <w:sz w:val="16"/>
    </w:rPr>
  </w:style>
  <w:style w:type="character" w:customStyle="1" w:styleId="NoteChar">
    <w:name w:val="Note Char"/>
    <w:basedOn w:val="DefaultParagraphFont"/>
    <w:link w:val="Note"/>
    <w:rsid w:val="00EC148D"/>
    <w:rPr>
      <w:rFonts w:cs="Times New Roman (Body CS)"/>
      <w:i/>
      <w:color w:val="1C5F69"/>
      <w:sz w:val="16"/>
      <w:szCs w:val="22"/>
      <w:lang w:eastAsia="en-US"/>
    </w:rPr>
  </w:style>
  <w:style w:type="paragraph" w:customStyle="1" w:styleId="listnumber0">
    <w:name w:val="list_number"/>
    <w:basedOn w:val="ListNumber"/>
    <w:next w:val="Normal"/>
    <w:link w:val="listnumberChar"/>
    <w:qFormat/>
    <w:rsid w:val="00C31C53"/>
    <w:rPr>
      <w:color w:val="1C5F69"/>
      <w:sz w:val="18"/>
    </w:rPr>
  </w:style>
  <w:style w:type="character" w:customStyle="1" w:styleId="listnumberChar">
    <w:name w:val="list_number Char"/>
    <w:basedOn w:val="DefaultParagraphFont"/>
    <w:link w:val="listnumber0"/>
    <w:rsid w:val="00C31C53"/>
    <w:rPr>
      <w:rFonts w:cs="Times New Roman (Body CS)"/>
      <w:color w:val="1C5F69"/>
      <w:sz w:val="18"/>
      <w:szCs w:val="22"/>
      <w:lang w:eastAsia="en-US"/>
    </w:rPr>
  </w:style>
  <w:style w:type="paragraph" w:customStyle="1" w:styleId="listbullet0">
    <w:name w:val="list_bullet"/>
    <w:basedOn w:val="ListBullet"/>
    <w:next w:val="Normal"/>
    <w:link w:val="listbulletChar"/>
    <w:qFormat/>
    <w:rsid w:val="00C31C53"/>
    <w:pPr>
      <w:numPr>
        <w:numId w:val="50"/>
      </w:numPr>
      <w:spacing w:line="360" w:lineRule="auto"/>
      <w:ind w:left="714" w:hanging="357"/>
    </w:pPr>
    <w:rPr>
      <w:color w:val="1C5F69"/>
      <w:sz w:val="18"/>
    </w:rPr>
  </w:style>
  <w:style w:type="paragraph" w:styleId="ListBullet">
    <w:name w:val="List Bullet"/>
    <w:basedOn w:val="Normal"/>
    <w:link w:val="ListBulletChar0"/>
    <w:uiPriority w:val="99"/>
    <w:semiHidden/>
    <w:unhideWhenUsed/>
    <w:rsid w:val="000E6D21"/>
    <w:pPr>
      <w:numPr>
        <w:numId w:val="47"/>
      </w:numPr>
      <w:contextualSpacing/>
    </w:pPr>
  </w:style>
  <w:style w:type="character" w:customStyle="1" w:styleId="ListBulletChar0">
    <w:name w:val="List Bullet Char"/>
    <w:basedOn w:val="DefaultParagraphFont"/>
    <w:link w:val="ListBullet"/>
    <w:uiPriority w:val="99"/>
    <w:semiHidden/>
    <w:rsid w:val="000E6D21"/>
    <w:rPr>
      <w:rFonts w:cs="Times New Roman (Body CS)"/>
      <w:szCs w:val="22"/>
      <w:lang w:eastAsia="en-US"/>
    </w:rPr>
  </w:style>
  <w:style w:type="character" w:customStyle="1" w:styleId="listbulletChar">
    <w:name w:val="list_bullet Char"/>
    <w:basedOn w:val="ListBulletChar0"/>
    <w:link w:val="listbullet0"/>
    <w:rsid w:val="00C31C53"/>
    <w:rPr>
      <w:rFonts w:cs="Times New Roman (Body CS)"/>
      <w:color w:val="1C5F69"/>
      <w:sz w:val="18"/>
      <w:szCs w:val="22"/>
      <w:lang w:eastAsia="en-US"/>
    </w:rPr>
  </w:style>
  <w:style w:type="paragraph" w:styleId="ListNumber">
    <w:name w:val="List Number"/>
    <w:basedOn w:val="Normal"/>
    <w:uiPriority w:val="99"/>
    <w:semiHidden/>
    <w:unhideWhenUsed/>
    <w:rsid w:val="000E6D21"/>
    <w:pPr>
      <w:numPr>
        <w:numId w:val="49"/>
      </w:numPr>
      <w:contextualSpacing/>
    </w:pPr>
  </w:style>
  <w:style w:type="paragraph" w:customStyle="1" w:styleId="BoldBody">
    <w:name w:val="BoldBody"/>
    <w:basedOn w:val="BodyStyle"/>
    <w:next w:val="BodyStyle"/>
    <w:link w:val="BoldBodyChar"/>
    <w:qFormat/>
    <w:rsid w:val="00C31C53"/>
    <w:rPr>
      <w:b/>
      <w:sz w:val="20"/>
    </w:rPr>
  </w:style>
  <w:style w:type="character" w:customStyle="1" w:styleId="BoldBodyChar">
    <w:name w:val="BoldBody Char"/>
    <w:basedOn w:val="listbulletChar"/>
    <w:link w:val="BoldBody"/>
    <w:rsid w:val="00C31C53"/>
    <w:rPr>
      <w:rFonts w:cs="Times New Roman (Body CS)"/>
      <w:b/>
      <w:color w:val="1C5F69"/>
      <w:sz w:val="18"/>
      <w:szCs w:val="32"/>
      <w:lang w:eastAsia="en-US"/>
    </w:rPr>
  </w:style>
  <w:style w:type="paragraph" w:customStyle="1" w:styleId="listnumberbold">
    <w:name w:val="list_number_bold"/>
    <w:basedOn w:val="listnumber0"/>
    <w:link w:val="listnumberboldChar"/>
    <w:qFormat/>
    <w:rsid w:val="000D6FA5"/>
    <w:rPr>
      <w:b/>
    </w:rPr>
  </w:style>
  <w:style w:type="character" w:customStyle="1" w:styleId="listnumberboldChar">
    <w:name w:val="list_number_bold Char"/>
    <w:basedOn w:val="listnumberChar"/>
    <w:link w:val="listnumberbold"/>
    <w:rsid w:val="000D6FA5"/>
    <w:rPr>
      <w:rFonts w:cs="Times New Roman (Body CS)"/>
      <w:b/>
      <w:color w:val="63777E"/>
      <w:sz w:val="18"/>
      <w:szCs w:val="22"/>
      <w:lang w:eastAsia="en-US"/>
    </w:rPr>
  </w:style>
  <w:style w:type="table" w:customStyle="1" w:styleId="AtchisonTableFormat1">
    <w:name w:val="AtchisonTableFormat1"/>
    <w:basedOn w:val="LightList-Accent1"/>
    <w:next w:val="GridTable4-Accent1"/>
    <w:uiPriority w:val="49"/>
    <w:rsid w:val="008B1956"/>
    <w:pPr>
      <w:jc w:val="center"/>
    </w:pPr>
    <w:rPr>
      <w:rFonts w:asciiTheme="minorHAnsi" w:eastAsiaTheme="minorHAnsi" w:hAnsiTheme="minorHAnsi" w:cstheme="minorBidi"/>
      <w:sz w:val="22"/>
      <w:szCs w:val="22"/>
      <w:lang w:eastAsia="en-US"/>
    </w:rPr>
    <w:tblPr>
      <w:tblBorders>
        <w:top w:val="single" w:sz="8" w:space="0" w:color="92F105" w:themeColor="accent1"/>
        <w:left w:val="single" w:sz="8" w:space="0" w:color="92F105" w:themeColor="accent1"/>
        <w:bottom w:val="single" w:sz="8" w:space="0" w:color="92F105" w:themeColor="accent1"/>
        <w:right w:val="single" w:sz="8" w:space="0" w:color="92F105" w:themeColor="accent1"/>
      </w:tblBorders>
    </w:tblPr>
    <w:tcPr>
      <w:vAlign w:val="center"/>
    </w:tcPr>
    <w:tblStylePr w:type="firstRow">
      <w:pPr>
        <w:spacing w:before="0" w:after="0" w:line="240" w:lineRule="auto"/>
      </w:pPr>
      <w:rPr>
        <w:rFonts w:ascii="Calibri" w:hAnsi="Calibri"/>
        <w:b/>
        <w:bCs/>
        <w:color w:val="E7E6E6" w:themeColor="background2"/>
      </w:rPr>
      <w:tblPr/>
      <w:tcPr>
        <w:tcBorders>
          <w:top w:val="nil"/>
          <w:left w:val="nil"/>
          <w:bottom w:val="nil"/>
          <w:right w:val="nil"/>
          <w:insideH w:val="nil"/>
          <w:insideV w:val="nil"/>
          <w:tl2br w:val="nil"/>
          <w:tr2bl w:val="nil"/>
        </w:tcBorders>
        <w:shd w:val="clear" w:color="auto" w:fill="006699"/>
      </w:tcPr>
    </w:tblStylePr>
    <w:tblStylePr w:type="lastRow">
      <w:pPr>
        <w:spacing w:before="0" w:after="0" w:line="240" w:lineRule="auto"/>
        <w:jc w:val="center"/>
      </w:pPr>
      <w:rPr>
        <w:b/>
        <w:bCs/>
      </w:rPr>
      <w:tblPr/>
      <w:tcPr>
        <w:tcBorders>
          <w:top w:val="single" w:sz="6" w:space="0" w:color="auto"/>
          <w:left w:val="nil"/>
          <w:bottom w:val="nil"/>
          <w:right w:val="nil"/>
          <w:insideH w:val="nil"/>
          <w:insideV w:val="nil"/>
          <w:tl2br w:val="nil"/>
          <w:tr2bl w:val="nil"/>
        </w:tcBorders>
      </w:tcPr>
    </w:tblStylePr>
    <w:tblStylePr w:type="firstCol">
      <w:pPr>
        <w:jc w:val="left"/>
      </w:pPr>
      <w:rPr>
        <w:b/>
        <w:bCs/>
      </w:rPr>
      <w:tblPr/>
      <w:tcPr>
        <w:tcBorders>
          <w:top w:val="nil"/>
          <w:left w:val="nil"/>
          <w:bottom w:val="nil"/>
          <w:right w:val="nil"/>
          <w:insideH w:val="nil"/>
          <w:insideV w:val="nil"/>
          <w:tl2br w:val="nil"/>
          <w:tr2bl w:val="nil"/>
        </w:tcBorders>
      </w:tcPr>
    </w:tblStylePr>
    <w:tblStylePr w:type="lastCol">
      <w:rPr>
        <w:b w:val="0"/>
        <w:bCs/>
      </w:rPr>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nil"/>
          <w:right w:val="nil"/>
          <w:insideH w:val="nil"/>
          <w:insideV w:val="nil"/>
          <w:tl2br w:val="nil"/>
          <w:tr2bl w:val="nil"/>
        </w:tcBorders>
      </w:tcPr>
    </w:tblStylePr>
    <w:tblStylePr w:type="band1Horz">
      <w:pPr>
        <w:jc w:val="center"/>
      </w:pPr>
      <w:tblPr/>
      <w:tcPr>
        <w:tcBorders>
          <w:top w:val="nil"/>
          <w:left w:val="nil"/>
          <w:bottom w:val="nil"/>
          <w:right w:val="nil"/>
          <w:insideH w:val="nil"/>
          <w:insideV w:val="nil"/>
          <w:tl2br w:val="nil"/>
          <w:tr2bl w:val="nil"/>
        </w:tcBorders>
      </w:tcPr>
    </w:tblStylePr>
    <w:tblStylePr w:type="band2Horz">
      <w:pPr>
        <w:jc w:val="center"/>
      </w:pPr>
      <w:tblPr/>
      <w:tcPr>
        <w:tcBorders>
          <w:top w:val="nil"/>
          <w:left w:val="nil"/>
          <w:bottom w:val="nil"/>
          <w:right w:val="nil"/>
          <w:insideH w:val="nil"/>
          <w:insideV w:val="nil"/>
          <w:tl2br w:val="nil"/>
          <w:tr2bl w:val="nil"/>
        </w:tcBorders>
        <w:shd w:val="clear" w:color="auto" w:fill="CBE4ED"/>
      </w:tcPr>
    </w:tblStylePr>
    <w:tblStylePr w:type="nwCell">
      <w:pPr>
        <w:jc w:val="left"/>
      </w:pPr>
      <w:rPr>
        <w:color w:val="FFFFFF" w:themeColor="background1"/>
      </w:rPr>
    </w:tblStylePr>
    <w:tblStylePr w:type="swCell">
      <w:pPr>
        <w:jc w:val="left"/>
      </w:pPr>
    </w:tblStylePr>
  </w:style>
  <w:style w:type="table" w:customStyle="1" w:styleId="Table3">
    <w:name w:val="Table3"/>
    <w:basedOn w:val="TableNormal"/>
    <w:uiPriority w:val="99"/>
    <w:rsid w:val="005E760E"/>
    <w:pPr>
      <w:jc w:val="center"/>
    </w:pPr>
    <w:rPr>
      <w:color w:val="3D545E" w:themeColor="text1"/>
      <w:sz w:val="18"/>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vAlign w:val="center"/>
    </w:tcPr>
    <w:tblStylePr w:type="firstRow">
      <w:pPr>
        <w:jc w:val="center"/>
      </w:pPr>
      <w:rPr>
        <w:rFonts w:ascii="Arial" w:hAnsi="Arial"/>
        <w:b/>
        <w:color w:val="FFFFFF" w:themeColor="background1"/>
        <w:sz w:val="18"/>
      </w:rPr>
      <w:tblPr/>
      <w:tcPr>
        <w:shd w:val="clear" w:color="auto" w:fill="3D555E"/>
      </w:tcPr>
    </w:tblStylePr>
    <w:tblStylePr w:type="band1Vert">
      <w:pPr>
        <w:jc w:val="center"/>
      </w:pPr>
      <w:rPr>
        <w:rFonts w:ascii="Arial" w:hAnsi="Arial"/>
        <w:b/>
        <w:color w:val="3D545E" w:themeColor="text1"/>
        <w:sz w:val="18"/>
      </w:rPr>
      <w:tblPr/>
      <w:tcPr>
        <w:shd w:val="clear" w:color="auto" w:fill="92F105"/>
        <w:vAlign w:val="center"/>
      </w:tcPr>
    </w:tblStylePr>
    <w:tblStylePr w:type="band2Vert">
      <w:pPr>
        <w:jc w:val="center"/>
      </w:pPr>
      <w:rPr>
        <w:rFonts w:ascii="Arial" w:hAnsi="Arial"/>
        <w:b/>
        <w:color w:val="3D545E" w:themeColor="text1"/>
        <w:sz w:val="18"/>
      </w:rPr>
      <w:tblPr/>
      <w:tcPr>
        <w:shd w:val="clear" w:color="auto" w:fill="FF0000"/>
        <w:vAlign w:val="center"/>
      </w:tcPr>
    </w:tblStylePr>
  </w:style>
  <w:style w:type="table" w:customStyle="1" w:styleId="TableSP">
    <w:name w:val="TableSP"/>
    <w:basedOn w:val="ListTable4"/>
    <w:uiPriority w:val="99"/>
    <w:rsid w:val="005E760E"/>
    <w:pPr>
      <w:jc w:val="center"/>
    </w:pPr>
    <w:rPr>
      <w:b/>
      <w:color w:val="3D545E" w:themeColor="text1"/>
      <w:sz w:val="18"/>
    </w:rPr>
    <w:tblPr/>
    <w:tcPr>
      <w:vAlign w:val="center"/>
    </w:tcPr>
    <w:tblStylePr w:type="firstRow">
      <w:pPr>
        <w:jc w:val="center"/>
      </w:pPr>
      <w:rPr>
        <w:b/>
        <w:bCs/>
        <w:color w:val="FFFFFF"/>
      </w:rPr>
      <w:tblPr/>
      <w:tcPr>
        <w:tcBorders>
          <w:top w:val="single" w:sz="4" w:space="0" w:color="3D545E"/>
          <w:left w:val="single" w:sz="4" w:space="0" w:color="3D545E"/>
          <w:bottom w:val="single" w:sz="4" w:space="0" w:color="3D545E"/>
          <w:right w:val="single" w:sz="4" w:space="0" w:color="3D545E"/>
          <w:insideH w:val="nil"/>
        </w:tcBorders>
        <w:shd w:val="clear" w:color="auto" w:fill="3D545E" w:themeFill="text1"/>
      </w:tcPr>
    </w:tblStylePr>
    <w:tblStylePr w:type="lastRow">
      <w:rPr>
        <w:b/>
        <w:bCs/>
      </w:rPr>
      <w:tblPr/>
      <w:tcPr>
        <w:tcBorders>
          <w:top w:val="double" w:sz="4" w:space="0" w:color="7D9DAB"/>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table" w:customStyle="1" w:styleId="TableSP2">
    <w:name w:val="TableSP2"/>
    <w:basedOn w:val="TableNormal"/>
    <w:uiPriority w:val="99"/>
    <w:rsid w:val="005E760E"/>
    <w:tblPr/>
    <w:tblStylePr w:type="firstRow">
      <w:pPr>
        <w:jc w:val="center"/>
      </w:pPr>
      <w:rPr>
        <w:color w:val="FFFFFF" w:themeColor="background1"/>
      </w:rPr>
      <w:tblPr/>
      <w:tcPr>
        <w:shd w:val="clear" w:color="auto" w:fill="3D545E" w:themeFill="text1"/>
        <w:vAlign w:val="center"/>
      </w:tcPr>
    </w:tblStylePr>
  </w:style>
  <w:style w:type="paragraph" w:customStyle="1" w:styleId="Ending">
    <w:name w:val="Ending"/>
    <w:basedOn w:val="Normal"/>
    <w:link w:val="EndingChar"/>
    <w:qFormat/>
    <w:rsid w:val="00884731"/>
    <w:pPr>
      <w:spacing w:line="360" w:lineRule="auto"/>
    </w:pPr>
    <w:rPr>
      <w:color w:val="FFFFFF" w:themeColor="background1"/>
      <w:sz w:val="16"/>
    </w:rPr>
  </w:style>
  <w:style w:type="character" w:customStyle="1" w:styleId="EndingChar">
    <w:name w:val="Ending Char"/>
    <w:basedOn w:val="DefaultParagraphFont"/>
    <w:link w:val="Ending"/>
    <w:rsid w:val="00884731"/>
    <w:rPr>
      <w:rFonts w:cs="Times New Roman (Body CS)"/>
      <w:color w:val="FFFFFF" w:themeColor="background1"/>
      <w:sz w:val="16"/>
      <w:szCs w:val="22"/>
      <w:lang w:eastAsia="en-US"/>
    </w:rPr>
  </w:style>
  <w:style w:type="paragraph" w:customStyle="1" w:styleId="NormalGreen">
    <w:name w:val="NormalGreen"/>
    <w:basedOn w:val="Ending"/>
    <w:link w:val="NormalGreenChar"/>
    <w:qFormat/>
    <w:rsid w:val="00744F32"/>
    <w:rPr>
      <w:b/>
      <w:color w:val="1C5F69"/>
      <w:sz w:val="18"/>
    </w:rPr>
  </w:style>
  <w:style w:type="character" w:customStyle="1" w:styleId="NormalGreenChar">
    <w:name w:val="NormalGreen Char"/>
    <w:basedOn w:val="EndingChar"/>
    <w:link w:val="NormalGreen"/>
    <w:rsid w:val="00744F32"/>
    <w:rPr>
      <w:rFonts w:cs="Times New Roman (Body CS)"/>
      <w:b/>
      <w:color w:val="1C5F69"/>
      <w:sz w:val="18"/>
      <w:szCs w:val="22"/>
      <w:lang w:eastAsia="en-US"/>
    </w:rPr>
  </w:style>
  <w:style w:type="paragraph" w:customStyle="1" w:styleId="BoldEnding">
    <w:name w:val="BoldEnding"/>
    <w:basedOn w:val="BodyStyle"/>
    <w:link w:val="BoldEndingChar"/>
    <w:qFormat/>
    <w:rsid w:val="005D6C2C"/>
    <w:rPr>
      <w:b/>
      <w:color w:val="FFFFFF" w:themeColor="background1"/>
      <w:sz w:val="20"/>
    </w:rPr>
  </w:style>
  <w:style w:type="character" w:customStyle="1" w:styleId="BoldEndingChar">
    <w:name w:val="BoldEnding Char"/>
    <w:basedOn w:val="BodyStyleChar"/>
    <w:link w:val="BoldEnding"/>
    <w:rsid w:val="005D6C2C"/>
    <w:rPr>
      <w:rFonts w:cs="Times New Roman (Body CS)"/>
      <w:b/>
      <w:color w:val="FFFFFF" w:themeColor="background1"/>
      <w:sz w:val="18"/>
      <w:szCs w:val="32"/>
      <w:lang w:eastAsia="en-US"/>
    </w:rPr>
  </w:style>
  <w:style w:type="paragraph" w:customStyle="1" w:styleId="Heading20">
    <w:name w:val="Heading2"/>
    <w:basedOn w:val="Heading2-nonumbers"/>
    <w:qFormat/>
    <w:rsid w:val="008F3DAD"/>
    <w:pPr>
      <w:spacing w:before="240"/>
    </w:pPr>
    <w:rPr>
      <w:color w:val="75C10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521613">
      <w:bodyDiv w:val="1"/>
      <w:marLeft w:val="0"/>
      <w:marRight w:val="0"/>
      <w:marTop w:val="0"/>
      <w:marBottom w:val="0"/>
      <w:divBdr>
        <w:top w:val="none" w:sz="0" w:space="0" w:color="auto"/>
        <w:left w:val="none" w:sz="0" w:space="0" w:color="auto"/>
        <w:bottom w:val="none" w:sz="0" w:space="0" w:color="auto"/>
        <w:right w:val="none" w:sz="0" w:space="0" w:color="auto"/>
      </w:divBdr>
    </w:div>
    <w:div w:id="77093238">
      <w:bodyDiv w:val="1"/>
      <w:marLeft w:val="0"/>
      <w:marRight w:val="0"/>
      <w:marTop w:val="0"/>
      <w:marBottom w:val="0"/>
      <w:divBdr>
        <w:top w:val="none" w:sz="0" w:space="0" w:color="auto"/>
        <w:left w:val="none" w:sz="0" w:space="0" w:color="auto"/>
        <w:bottom w:val="none" w:sz="0" w:space="0" w:color="auto"/>
        <w:right w:val="none" w:sz="0" w:space="0" w:color="auto"/>
      </w:divBdr>
      <w:divsChild>
        <w:div w:id="55713674">
          <w:marLeft w:val="0"/>
          <w:marRight w:val="0"/>
          <w:marTop w:val="0"/>
          <w:marBottom w:val="0"/>
          <w:divBdr>
            <w:top w:val="none" w:sz="0" w:space="0" w:color="auto"/>
            <w:left w:val="none" w:sz="0" w:space="0" w:color="auto"/>
            <w:bottom w:val="none" w:sz="0" w:space="0" w:color="auto"/>
            <w:right w:val="none" w:sz="0" w:space="0" w:color="auto"/>
          </w:divBdr>
        </w:div>
      </w:divsChild>
    </w:div>
    <w:div w:id="123624861">
      <w:bodyDiv w:val="1"/>
      <w:marLeft w:val="0"/>
      <w:marRight w:val="0"/>
      <w:marTop w:val="0"/>
      <w:marBottom w:val="0"/>
      <w:divBdr>
        <w:top w:val="none" w:sz="0" w:space="0" w:color="auto"/>
        <w:left w:val="none" w:sz="0" w:space="0" w:color="auto"/>
        <w:bottom w:val="none" w:sz="0" w:space="0" w:color="auto"/>
        <w:right w:val="none" w:sz="0" w:space="0" w:color="auto"/>
      </w:divBdr>
    </w:div>
    <w:div w:id="141046583">
      <w:bodyDiv w:val="1"/>
      <w:marLeft w:val="0"/>
      <w:marRight w:val="0"/>
      <w:marTop w:val="0"/>
      <w:marBottom w:val="0"/>
      <w:divBdr>
        <w:top w:val="none" w:sz="0" w:space="0" w:color="auto"/>
        <w:left w:val="none" w:sz="0" w:space="0" w:color="auto"/>
        <w:bottom w:val="none" w:sz="0" w:space="0" w:color="auto"/>
        <w:right w:val="none" w:sz="0" w:space="0" w:color="auto"/>
      </w:divBdr>
    </w:div>
    <w:div w:id="216163679">
      <w:bodyDiv w:val="1"/>
      <w:marLeft w:val="0"/>
      <w:marRight w:val="0"/>
      <w:marTop w:val="0"/>
      <w:marBottom w:val="0"/>
      <w:divBdr>
        <w:top w:val="none" w:sz="0" w:space="0" w:color="auto"/>
        <w:left w:val="none" w:sz="0" w:space="0" w:color="auto"/>
        <w:bottom w:val="none" w:sz="0" w:space="0" w:color="auto"/>
        <w:right w:val="none" w:sz="0" w:space="0" w:color="auto"/>
      </w:divBdr>
    </w:div>
    <w:div w:id="257643671">
      <w:bodyDiv w:val="1"/>
      <w:marLeft w:val="0"/>
      <w:marRight w:val="0"/>
      <w:marTop w:val="0"/>
      <w:marBottom w:val="0"/>
      <w:divBdr>
        <w:top w:val="none" w:sz="0" w:space="0" w:color="auto"/>
        <w:left w:val="none" w:sz="0" w:space="0" w:color="auto"/>
        <w:bottom w:val="none" w:sz="0" w:space="0" w:color="auto"/>
        <w:right w:val="none" w:sz="0" w:space="0" w:color="auto"/>
      </w:divBdr>
    </w:div>
    <w:div w:id="273052166">
      <w:bodyDiv w:val="1"/>
      <w:marLeft w:val="0"/>
      <w:marRight w:val="0"/>
      <w:marTop w:val="0"/>
      <w:marBottom w:val="0"/>
      <w:divBdr>
        <w:top w:val="none" w:sz="0" w:space="0" w:color="auto"/>
        <w:left w:val="none" w:sz="0" w:space="0" w:color="auto"/>
        <w:bottom w:val="none" w:sz="0" w:space="0" w:color="auto"/>
        <w:right w:val="none" w:sz="0" w:space="0" w:color="auto"/>
      </w:divBdr>
    </w:div>
    <w:div w:id="318731395">
      <w:bodyDiv w:val="1"/>
      <w:marLeft w:val="0"/>
      <w:marRight w:val="0"/>
      <w:marTop w:val="0"/>
      <w:marBottom w:val="0"/>
      <w:divBdr>
        <w:top w:val="none" w:sz="0" w:space="0" w:color="auto"/>
        <w:left w:val="none" w:sz="0" w:space="0" w:color="auto"/>
        <w:bottom w:val="none" w:sz="0" w:space="0" w:color="auto"/>
        <w:right w:val="none" w:sz="0" w:space="0" w:color="auto"/>
      </w:divBdr>
    </w:div>
    <w:div w:id="330643842">
      <w:bodyDiv w:val="1"/>
      <w:marLeft w:val="0"/>
      <w:marRight w:val="0"/>
      <w:marTop w:val="0"/>
      <w:marBottom w:val="0"/>
      <w:divBdr>
        <w:top w:val="none" w:sz="0" w:space="0" w:color="auto"/>
        <w:left w:val="none" w:sz="0" w:space="0" w:color="auto"/>
        <w:bottom w:val="none" w:sz="0" w:space="0" w:color="auto"/>
        <w:right w:val="none" w:sz="0" w:space="0" w:color="auto"/>
      </w:divBdr>
    </w:div>
    <w:div w:id="348026724">
      <w:bodyDiv w:val="1"/>
      <w:marLeft w:val="0"/>
      <w:marRight w:val="0"/>
      <w:marTop w:val="0"/>
      <w:marBottom w:val="0"/>
      <w:divBdr>
        <w:top w:val="none" w:sz="0" w:space="0" w:color="auto"/>
        <w:left w:val="none" w:sz="0" w:space="0" w:color="auto"/>
        <w:bottom w:val="none" w:sz="0" w:space="0" w:color="auto"/>
        <w:right w:val="none" w:sz="0" w:space="0" w:color="auto"/>
      </w:divBdr>
    </w:div>
    <w:div w:id="380056186">
      <w:bodyDiv w:val="1"/>
      <w:marLeft w:val="0"/>
      <w:marRight w:val="0"/>
      <w:marTop w:val="0"/>
      <w:marBottom w:val="0"/>
      <w:divBdr>
        <w:top w:val="none" w:sz="0" w:space="0" w:color="auto"/>
        <w:left w:val="none" w:sz="0" w:space="0" w:color="auto"/>
        <w:bottom w:val="none" w:sz="0" w:space="0" w:color="auto"/>
        <w:right w:val="none" w:sz="0" w:space="0" w:color="auto"/>
      </w:divBdr>
    </w:div>
    <w:div w:id="382759063">
      <w:bodyDiv w:val="1"/>
      <w:marLeft w:val="0"/>
      <w:marRight w:val="0"/>
      <w:marTop w:val="0"/>
      <w:marBottom w:val="0"/>
      <w:divBdr>
        <w:top w:val="none" w:sz="0" w:space="0" w:color="auto"/>
        <w:left w:val="none" w:sz="0" w:space="0" w:color="auto"/>
        <w:bottom w:val="none" w:sz="0" w:space="0" w:color="auto"/>
        <w:right w:val="none" w:sz="0" w:space="0" w:color="auto"/>
      </w:divBdr>
    </w:div>
    <w:div w:id="548536675">
      <w:bodyDiv w:val="1"/>
      <w:marLeft w:val="0"/>
      <w:marRight w:val="0"/>
      <w:marTop w:val="0"/>
      <w:marBottom w:val="0"/>
      <w:divBdr>
        <w:top w:val="none" w:sz="0" w:space="0" w:color="auto"/>
        <w:left w:val="none" w:sz="0" w:space="0" w:color="auto"/>
        <w:bottom w:val="none" w:sz="0" w:space="0" w:color="auto"/>
        <w:right w:val="none" w:sz="0" w:space="0" w:color="auto"/>
      </w:divBdr>
    </w:div>
    <w:div w:id="557521742">
      <w:bodyDiv w:val="1"/>
      <w:marLeft w:val="0"/>
      <w:marRight w:val="0"/>
      <w:marTop w:val="0"/>
      <w:marBottom w:val="0"/>
      <w:divBdr>
        <w:top w:val="none" w:sz="0" w:space="0" w:color="auto"/>
        <w:left w:val="none" w:sz="0" w:space="0" w:color="auto"/>
        <w:bottom w:val="none" w:sz="0" w:space="0" w:color="auto"/>
        <w:right w:val="none" w:sz="0" w:space="0" w:color="auto"/>
      </w:divBdr>
    </w:div>
    <w:div w:id="651064974">
      <w:bodyDiv w:val="1"/>
      <w:marLeft w:val="0"/>
      <w:marRight w:val="0"/>
      <w:marTop w:val="0"/>
      <w:marBottom w:val="0"/>
      <w:divBdr>
        <w:top w:val="none" w:sz="0" w:space="0" w:color="auto"/>
        <w:left w:val="none" w:sz="0" w:space="0" w:color="auto"/>
        <w:bottom w:val="none" w:sz="0" w:space="0" w:color="auto"/>
        <w:right w:val="none" w:sz="0" w:space="0" w:color="auto"/>
      </w:divBdr>
    </w:div>
    <w:div w:id="667098350">
      <w:bodyDiv w:val="1"/>
      <w:marLeft w:val="0"/>
      <w:marRight w:val="0"/>
      <w:marTop w:val="0"/>
      <w:marBottom w:val="0"/>
      <w:divBdr>
        <w:top w:val="none" w:sz="0" w:space="0" w:color="auto"/>
        <w:left w:val="none" w:sz="0" w:space="0" w:color="auto"/>
        <w:bottom w:val="none" w:sz="0" w:space="0" w:color="auto"/>
        <w:right w:val="none" w:sz="0" w:space="0" w:color="auto"/>
      </w:divBdr>
    </w:div>
    <w:div w:id="728454181">
      <w:bodyDiv w:val="1"/>
      <w:marLeft w:val="0"/>
      <w:marRight w:val="0"/>
      <w:marTop w:val="0"/>
      <w:marBottom w:val="0"/>
      <w:divBdr>
        <w:top w:val="none" w:sz="0" w:space="0" w:color="auto"/>
        <w:left w:val="none" w:sz="0" w:space="0" w:color="auto"/>
        <w:bottom w:val="none" w:sz="0" w:space="0" w:color="auto"/>
        <w:right w:val="none" w:sz="0" w:space="0" w:color="auto"/>
      </w:divBdr>
    </w:div>
    <w:div w:id="859511173">
      <w:bodyDiv w:val="1"/>
      <w:marLeft w:val="0"/>
      <w:marRight w:val="0"/>
      <w:marTop w:val="0"/>
      <w:marBottom w:val="0"/>
      <w:divBdr>
        <w:top w:val="none" w:sz="0" w:space="0" w:color="auto"/>
        <w:left w:val="none" w:sz="0" w:space="0" w:color="auto"/>
        <w:bottom w:val="none" w:sz="0" w:space="0" w:color="auto"/>
        <w:right w:val="none" w:sz="0" w:space="0" w:color="auto"/>
      </w:divBdr>
    </w:div>
    <w:div w:id="905603366">
      <w:bodyDiv w:val="1"/>
      <w:marLeft w:val="0"/>
      <w:marRight w:val="0"/>
      <w:marTop w:val="0"/>
      <w:marBottom w:val="0"/>
      <w:divBdr>
        <w:top w:val="none" w:sz="0" w:space="0" w:color="auto"/>
        <w:left w:val="none" w:sz="0" w:space="0" w:color="auto"/>
        <w:bottom w:val="none" w:sz="0" w:space="0" w:color="auto"/>
        <w:right w:val="none" w:sz="0" w:space="0" w:color="auto"/>
      </w:divBdr>
    </w:div>
    <w:div w:id="950630395">
      <w:bodyDiv w:val="1"/>
      <w:marLeft w:val="0"/>
      <w:marRight w:val="0"/>
      <w:marTop w:val="0"/>
      <w:marBottom w:val="0"/>
      <w:divBdr>
        <w:top w:val="none" w:sz="0" w:space="0" w:color="auto"/>
        <w:left w:val="none" w:sz="0" w:space="0" w:color="auto"/>
        <w:bottom w:val="none" w:sz="0" w:space="0" w:color="auto"/>
        <w:right w:val="none" w:sz="0" w:space="0" w:color="auto"/>
      </w:divBdr>
    </w:div>
    <w:div w:id="990253274">
      <w:bodyDiv w:val="1"/>
      <w:marLeft w:val="0"/>
      <w:marRight w:val="0"/>
      <w:marTop w:val="0"/>
      <w:marBottom w:val="0"/>
      <w:divBdr>
        <w:top w:val="none" w:sz="0" w:space="0" w:color="auto"/>
        <w:left w:val="none" w:sz="0" w:space="0" w:color="auto"/>
        <w:bottom w:val="none" w:sz="0" w:space="0" w:color="auto"/>
        <w:right w:val="none" w:sz="0" w:space="0" w:color="auto"/>
      </w:divBdr>
    </w:div>
    <w:div w:id="1105922090">
      <w:bodyDiv w:val="1"/>
      <w:marLeft w:val="0"/>
      <w:marRight w:val="0"/>
      <w:marTop w:val="0"/>
      <w:marBottom w:val="0"/>
      <w:divBdr>
        <w:top w:val="none" w:sz="0" w:space="0" w:color="auto"/>
        <w:left w:val="none" w:sz="0" w:space="0" w:color="auto"/>
        <w:bottom w:val="none" w:sz="0" w:space="0" w:color="auto"/>
        <w:right w:val="none" w:sz="0" w:space="0" w:color="auto"/>
      </w:divBdr>
    </w:div>
    <w:div w:id="1250387250">
      <w:bodyDiv w:val="1"/>
      <w:marLeft w:val="0"/>
      <w:marRight w:val="0"/>
      <w:marTop w:val="0"/>
      <w:marBottom w:val="0"/>
      <w:divBdr>
        <w:top w:val="none" w:sz="0" w:space="0" w:color="auto"/>
        <w:left w:val="none" w:sz="0" w:space="0" w:color="auto"/>
        <w:bottom w:val="none" w:sz="0" w:space="0" w:color="auto"/>
        <w:right w:val="none" w:sz="0" w:space="0" w:color="auto"/>
      </w:divBdr>
    </w:div>
    <w:div w:id="1253516691">
      <w:bodyDiv w:val="1"/>
      <w:marLeft w:val="0"/>
      <w:marRight w:val="0"/>
      <w:marTop w:val="0"/>
      <w:marBottom w:val="0"/>
      <w:divBdr>
        <w:top w:val="none" w:sz="0" w:space="0" w:color="auto"/>
        <w:left w:val="none" w:sz="0" w:space="0" w:color="auto"/>
        <w:bottom w:val="none" w:sz="0" w:space="0" w:color="auto"/>
        <w:right w:val="none" w:sz="0" w:space="0" w:color="auto"/>
      </w:divBdr>
      <w:divsChild>
        <w:div w:id="1241213237">
          <w:marLeft w:val="0"/>
          <w:marRight w:val="0"/>
          <w:marTop w:val="0"/>
          <w:marBottom w:val="0"/>
          <w:divBdr>
            <w:top w:val="none" w:sz="0" w:space="0" w:color="auto"/>
            <w:left w:val="none" w:sz="0" w:space="0" w:color="auto"/>
            <w:bottom w:val="none" w:sz="0" w:space="0" w:color="auto"/>
            <w:right w:val="none" w:sz="0" w:space="0" w:color="auto"/>
          </w:divBdr>
        </w:div>
      </w:divsChild>
    </w:div>
    <w:div w:id="1289819181">
      <w:bodyDiv w:val="1"/>
      <w:marLeft w:val="0"/>
      <w:marRight w:val="0"/>
      <w:marTop w:val="0"/>
      <w:marBottom w:val="0"/>
      <w:divBdr>
        <w:top w:val="none" w:sz="0" w:space="0" w:color="auto"/>
        <w:left w:val="none" w:sz="0" w:space="0" w:color="auto"/>
        <w:bottom w:val="none" w:sz="0" w:space="0" w:color="auto"/>
        <w:right w:val="none" w:sz="0" w:space="0" w:color="auto"/>
      </w:divBdr>
    </w:div>
    <w:div w:id="1307783192">
      <w:bodyDiv w:val="1"/>
      <w:marLeft w:val="0"/>
      <w:marRight w:val="0"/>
      <w:marTop w:val="0"/>
      <w:marBottom w:val="0"/>
      <w:divBdr>
        <w:top w:val="none" w:sz="0" w:space="0" w:color="auto"/>
        <w:left w:val="none" w:sz="0" w:space="0" w:color="auto"/>
        <w:bottom w:val="none" w:sz="0" w:space="0" w:color="auto"/>
        <w:right w:val="none" w:sz="0" w:space="0" w:color="auto"/>
      </w:divBdr>
    </w:div>
    <w:div w:id="1340696309">
      <w:bodyDiv w:val="1"/>
      <w:marLeft w:val="0"/>
      <w:marRight w:val="0"/>
      <w:marTop w:val="0"/>
      <w:marBottom w:val="0"/>
      <w:divBdr>
        <w:top w:val="none" w:sz="0" w:space="0" w:color="auto"/>
        <w:left w:val="none" w:sz="0" w:space="0" w:color="auto"/>
        <w:bottom w:val="none" w:sz="0" w:space="0" w:color="auto"/>
        <w:right w:val="none" w:sz="0" w:space="0" w:color="auto"/>
      </w:divBdr>
    </w:div>
    <w:div w:id="1368720399">
      <w:bodyDiv w:val="1"/>
      <w:marLeft w:val="0"/>
      <w:marRight w:val="0"/>
      <w:marTop w:val="0"/>
      <w:marBottom w:val="0"/>
      <w:divBdr>
        <w:top w:val="none" w:sz="0" w:space="0" w:color="auto"/>
        <w:left w:val="none" w:sz="0" w:space="0" w:color="auto"/>
        <w:bottom w:val="none" w:sz="0" w:space="0" w:color="auto"/>
        <w:right w:val="none" w:sz="0" w:space="0" w:color="auto"/>
      </w:divBdr>
    </w:div>
    <w:div w:id="1458181748">
      <w:bodyDiv w:val="1"/>
      <w:marLeft w:val="0"/>
      <w:marRight w:val="0"/>
      <w:marTop w:val="0"/>
      <w:marBottom w:val="0"/>
      <w:divBdr>
        <w:top w:val="none" w:sz="0" w:space="0" w:color="auto"/>
        <w:left w:val="none" w:sz="0" w:space="0" w:color="auto"/>
        <w:bottom w:val="none" w:sz="0" w:space="0" w:color="auto"/>
        <w:right w:val="none" w:sz="0" w:space="0" w:color="auto"/>
      </w:divBdr>
    </w:div>
    <w:div w:id="1566573339">
      <w:bodyDiv w:val="1"/>
      <w:marLeft w:val="0"/>
      <w:marRight w:val="0"/>
      <w:marTop w:val="0"/>
      <w:marBottom w:val="0"/>
      <w:divBdr>
        <w:top w:val="none" w:sz="0" w:space="0" w:color="auto"/>
        <w:left w:val="none" w:sz="0" w:space="0" w:color="auto"/>
        <w:bottom w:val="none" w:sz="0" w:space="0" w:color="auto"/>
        <w:right w:val="none" w:sz="0" w:space="0" w:color="auto"/>
      </w:divBdr>
    </w:div>
    <w:div w:id="1606812567">
      <w:bodyDiv w:val="1"/>
      <w:marLeft w:val="0"/>
      <w:marRight w:val="0"/>
      <w:marTop w:val="0"/>
      <w:marBottom w:val="0"/>
      <w:divBdr>
        <w:top w:val="none" w:sz="0" w:space="0" w:color="auto"/>
        <w:left w:val="none" w:sz="0" w:space="0" w:color="auto"/>
        <w:bottom w:val="none" w:sz="0" w:space="0" w:color="auto"/>
        <w:right w:val="none" w:sz="0" w:space="0" w:color="auto"/>
      </w:divBdr>
    </w:div>
    <w:div w:id="1685667875">
      <w:bodyDiv w:val="1"/>
      <w:marLeft w:val="0"/>
      <w:marRight w:val="0"/>
      <w:marTop w:val="0"/>
      <w:marBottom w:val="0"/>
      <w:divBdr>
        <w:top w:val="none" w:sz="0" w:space="0" w:color="auto"/>
        <w:left w:val="none" w:sz="0" w:space="0" w:color="auto"/>
        <w:bottom w:val="none" w:sz="0" w:space="0" w:color="auto"/>
        <w:right w:val="none" w:sz="0" w:space="0" w:color="auto"/>
      </w:divBdr>
    </w:div>
    <w:div w:id="1746762606">
      <w:bodyDiv w:val="1"/>
      <w:marLeft w:val="0"/>
      <w:marRight w:val="0"/>
      <w:marTop w:val="0"/>
      <w:marBottom w:val="0"/>
      <w:divBdr>
        <w:top w:val="none" w:sz="0" w:space="0" w:color="auto"/>
        <w:left w:val="none" w:sz="0" w:space="0" w:color="auto"/>
        <w:bottom w:val="none" w:sz="0" w:space="0" w:color="auto"/>
        <w:right w:val="none" w:sz="0" w:space="0" w:color="auto"/>
      </w:divBdr>
    </w:div>
    <w:div w:id="1898127340">
      <w:bodyDiv w:val="1"/>
      <w:marLeft w:val="0"/>
      <w:marRight w:val="0"/>
      <w:marTop w:val="0"/>
      <w:marBottom w:val="0"/>
      <w:divBdr>
        <w:top w:val="none" w:sz="0" w:space="0" w:color="auto"/>
        <w:left w:val="none" w:sz="0" w:space="0" w:color="auto"/>
        <w:bottom w:val="none" w:sz="0" w:space="0" w:color="auto"/>
        <w:right w:val="none" w:sz="0" w:space="0" w:color="auto"/>
      </w:divBdr>
    </w:div>
    <w:div w:id="1978147548">
      <w:bodyDiv w:val="1"/>
      <w:marLeft w:val="0"/>
      <w:marRight w:val="0"/>
      <w:marTop w:val="0"/>
      <w:marBottom w:val="0"/>
      <w:divBdr>
        <w:top w:val="none" w:sz="0" w:space="0" w:color="auto"/>
        <w:left w:val="none" w:sz="0" w:space="0" w:color="auto"/>
        <w:bottom w:val="none" w:sz="0" w:space="0" w:color="auto"/>
        <w:right w:val="none" w:sz="0" w:space="0" w:color="auto"/>
      </w:divBdr>
    </w:div>
    <w:div w:id="2049988323">
      <w:bodyDiv w:val="1"/>
      <w:marLeft w:val="0"/>
      <w:marRight w:val="0"/>
      <w:marTop w:val="0"/>
      <w:marBottom w:val="0"/>
      <w:divBdr>
        <w:top w:val="none" w:sz="0" w:space="0" w:color="auto"/>
        <w:left w:val="none" w:sz="0" w:space="0" w:color="auto"/>
        <w:bottom w:val="none" w:sz="0" w:space="0" w:color="auto"/>
        <w:right w:val="none" w:sz="0" w:space="0" w:color="auto"/>
      </w:divBdr>
    </w:div>
    <w:div w:id="20928923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19" Type="http://schemas.openxmlformats.org/officeDocument/2006/relationships/image" Target="media/image2.png"/><Relationship Id="rId20" Type="http://schemas.openxmlformats.org/officeDocument/2006/relationships/image" Target="media/image3.png"/><Relationship Id="rId21" Type="http://schemas.openxmlformats.org/officeDocument/2006/relationships/image" Target="media/image4.png"/><Relationship Id="rId22" Type="http://schemas.openxmlformats.org/officeDocument/2006/relationships/image" Target="media/image5.png"/><Relationship Id="rId23" Type="http://schemas.openxmlformats.org/officeDocument/2006/relationships/image" Target="media/image6.png"/><Relationship Id="rId24"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Custom 57">
      <a:dk1>
        <a:srgbClr val="3D545E"/>
      </a:dk1>
      <a:lt1>
        <a:srgbClr val="FFFFFF"/>
      </a:lt1>
      <a:dk2>
        <a:srgbClr val="63777E"/>
      </a:dk2>
      <a:lt2>
        <a:srgbClr val="E7E6E6"/>
      </a:lt2>
      <a:accent1>
        <a:srgbClr val="92F105"/>
      </a:accent1>
      <a:accent2>
        <a:srgbClr val="F17C11"/>
      </a:accent2>
      <a:accent3>
        <a:srgbClr val="8A999D"/>
      </a:accent3>
      <a:accent4>
        <a:srgbClr val="F7B170"/>
      </a:accent4>
      <a:accent5>
        <a:srgbClr val="1DC8F1"/>
      </a:accent5>
      <a:accent6>
        <a:srgbClr val="75C104"/>
      </a:accent6>
      <a:hlink>
        <a:srgbClr val="16A0C1"/>
      </a:hlink>
      <a:folHlink>
        <a:srgbClr val="C1630D"/>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0789f30-979e-497b-8344-faefb3987540" xsi:nil="true"/>
    <lcf76f155ced4ddcb4097134ff3c332f xmlns="df76e320-99cb-4a11-b59f-8bf32867ab70">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C6577D0C3AE724BBB504F46D5A19401" ma:contentTypeVersion="18" ma:contentTypeDescription="Create a new document." ma:contentTypeScope="" ma:versionID="17afb16e0fbe716d3dcf2481b32b5550">
  <xsd:schema xmlns:xsd="http://www.w3.org/2001/XMLSchema" xmlns:xs="http://www.w3.org/2001/XMLSchema" xmlns:p="http://schemas.microsoft.com/office/2006/metadata/properties" xmlns:ns2="df76e320-99cb-4a11-b59f-8bf32867ab70" xmlns:ns3="c0789f30-979e-497b-8344-faefb3987540" targetNamespace="http://schemas.microsoft.com/office/2006/metadata/properties" ma:root="true" ma:fieldsID="f6d0bb8d4e6a5d6b988ea2ed2503dbb5" ns2:_="" ns3:_="">
    <xsd:import namespace="df76e320-99cb-4a11-b59f-8bf32867ab70"/>
    <xsd:import namespace="c0789f30-979e-497b-8344-faefb398754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76e320-99cb-4a11-b59f-8bf32867ab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ea5f6a7-5373-4784-9cd5-4ca8be386d98"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description="" ma:indexed="true" ma:internalName="MediaServiceLocation" ma:readOnly="true">
      <xsd:simpleType>
        <xsd:restriction base="dms:Text"/>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0789f30-979e-497b-8344-faefb3987540"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1100522-260f-4f17-9a31-47a12622b1e0}" ma:internalName="TaxCatchAll" ma:showField="CatchAllData" ma:web="c0789f30-979e-497b-8344-faefb398754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5E0443C-4F90-4629-97D7-B1DE713ED804}">
  <ds:schemaRefs>
    <ds:schemaRef ds:uri="http://schemas.microsoft.com/office/2006/metadata/properties"/>
    <ds:schemaRef ds:uri="http://schemas.microsoft.com/office/infopath/2007/PartnerControls"/>
    <ds:schemaRef ds:uri="c0789f30-979e-497b-8344-faefb3987540"/>
    <ds:schemaRef ds:uri="df76e320-99cb-4a11-b59f-8bf32867ab70"/>
  </ds:schemaRefs>
</ds:datastoreItem>
</file>

<file path=customXml/itemProps2.xml><?xml version="1.0" encoding="utf-8"?>
<ds:datastoreItem xmlns:ds="http://schemas.openxmlformats.org/officeDocument/2006/customXml" ds:itemID="{4025F58E-3AB4-3342-9197-1CA84913C711}">
  <ds:schemaRefs>
    <ds:schemaRef ds:uri="http://schemas.openxmlformats.org/officeDocument/2006/bibliography"/>
  </ds:schemaRefs>
</ds:datastoreItem>
</file>

<file path=customXml/itemProps3.xml><?xml version="1.0" encoding="utf-8"?>
<ds:datastoreItem xmlns:ds="http://schemas.openxmlformats.org/officeDocument/2006/customXml" ds:itemID="{8755120E-120F-492C-8F62-4A444EBFBADE}">
  <ds:schemaRefs>
    <ds:schemaRef ds:uri="http://schemas.microsoft.com/sharepoint/v3/contenttype/forms"/>
  </ds:schemaRefs>
</ds:datastoreItem>
</file>

<file path=customXml/itemProps4.xml><?xml version="1.0" encoding="utf-8"?>
<ds:datastoreItem xmlns:ds="http://schemas.openxmlformats.org/officeDocument/2006/customXml" ds:itemID="{7A0F0D45-B5B0-4593-81B9-A8D609F217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76e320-99cb-4a11-b59f-8bf32867ab70"/>
    <ds:schemaRef ds:uri="c0789f30-979e-497b-8344-faefb39875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734</TotalTime>
  <Pages>2</Pages>
  <Words>0</Words>
  <Characters>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Review of Balanced Plus Model Portfolio – March 2022</dc:subject>
  <dc:creator>Chris Tucker</dc:creator>
  <cp:keywords/>
  <dc:description/>
  <cp:lastModifiedBy>Kevin Toohey</cp:lastModifiedBy>
  <cp:revision>170</cp:revision>
  <cp:lastPrinted>2022-04-29T02:04:00Z</cp:lastPrinted>
  <dcterms:created xsi:type="dcterms:W3CDTF">2022-07-06T04:09:00Z</dcterms:created>
  <dcterms:modified xsi:type="dcterms:W3CDTF">2025-02-18T15:08:00Z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0x0101005C6577D0C3AE724BBB504F46D5A19401</vt:lpwstr>
  </property>
  <property fmtid="{D5CDD505-2E9C-101B-9397-08002B2CF9AE}" pid="3" name="MediaServiceImageTags">
    <vt:lpwstr/>
  </property>
  <property fmtid="{D5CDD505-2E9C-101B-9397-08002B2CF9AE}" pid="4" name="GrammarlyDocumentId">
    <vt:lpwstr>069f8ed2d639f42f3358f26f779bc282e55092fa4eaeb322fffafbd991d9d555</vt:lpwstr>
  </property>
</Properties>
</file>