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Atchison55ETF</w:t>
            </w:r>
          </w:p>
        </w:tc>
        <w:tc>
          <w:tcPr>
            <w:tcW w:type="dxa" w:w="1644"/>
          </w:tcPr>
          <w:p>
            <w:r>
              <w:rPr>
                <w:b/>
              </w:rPr>
              <w:t>-1.49</w:t>
            </w:r>
          </w:p>
        </w:tc>
        <w:tc>
          <w:tcPr>
            <w:tcW w:type="dxa" w:w="1644"/>
          </w:tcPr>
          <w:p>
            <w:r>
              <w:rPr>
                <w:b/>
              </w:rPr>
              <w:t>2.4</w:t>
            </w:r>
          </w:p>
        </w:tc>
        <w:tc>
          <w:tcPr>
            <w:tcW w:type="dxa" w:w="1644"/>
          </w:tcPr>
          <w:p>
            <w:r>
              <w:rPr>
                <w:b/>
              </w:rPr>
              <w:t>8.93</w:t>
            </w:r>
          </w:p>
        </w:tc>
        <w:tc>
          <w:tcPr>
            <w:tcW w:type="dxa" w:w="1644"/>
          </w:tcPr>
          <w:p>
            <w:r>
              <w:rPr>
                <w:b/>
              </w:rPr>
              <w:t>8.45</w:t>
            </w:r>
          </w:p>
        </w:tc>
        <w:tc>
          <w:tcPr>
            <w:tcW w:type="dxa" w:w="1644"/>
          </w:tcPr>
          <w:p>
            <w:r>
              <w:rPr>
                <w:b/>
              </w:rPr>
              <w:t>9.59</w:t>
            </w:r>
          </w:p>
        </w:tc>
      </w:tr>
      <w:tr>
        <w:tc>
          <w:tcPr>
            <w:tcW w:type="dxa" w:w="2551"/>
          </w:tcPr>
          <w:p>
            <w:r>
              <w:t>Peer Group</w:t>
            </w:r>
          </w:p>
        </w:tc>
        <w:tc>
          <w:tcPr>
            <w:tcW w:type="dxa" w:w="1644"/>
          </w:tcPr>
          <w:p>
            <w:r>
              <w:t>-1.48</w:t>
            </w:r>
          </w:p>
        </w:tc>
        <w:tc>
          <w:tcPr>
            <w:tcW w:type="dxa" w:w="1644"/>
          </w:tcPr>
          <w:p>
            <w:r>
              <w:t>1.73</w:t>
            </w:r>
          </w:p>
        </w:tc>
        <w:tc>
          <w:tcPr>
            <w:tcW w:type="dxa" w:w="1644"/>
          </w:tcPr>
          <w:p>
            <w:r>
              <w:t>7.16</w:t>
            </w:r>
          </w:p>
        </w:tc>
        <w:tc>
          <w:tcPr>
            <w:tcW w:type="dxa" w:w="1644"/>
          </w:tcPr>
          <w:p>
            <w:r>
              <w:t>6.73</w:t>
            </w:r>
          </w:p>
        </w:tc>
        <w:tc>
          <w:tcPr>
            <w:tcW w:type="dxa" w:w="1644"/>
          </w:tcPr>
          <w:p>
            <w:r>
              <w:t>7.82</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-0.02</w:t>
            </w:r>
          </w:p>
        </w:tc>
        <w:tc>
          <w:tcPr>
            <w:tcW w:type="dxa" w:w="1644"/>
          </w:tcPr>
          <w:p>
            <w:r>
              <w:t>0.67</w:t>
            </w:r>
          </w:p>
        </w:tc>
        <w:tc>
          <w:tcPr>
            <w:tcW w:type="dxa" w:w="1644"/>
          </w:tcPr>
          <w:p>
            <w:r>
              <w:t>1.77</w:t>
            </w:r>
          </w:p>
        </w:tc>
        <w:tc>
          <w:tcPr>
            <w:tcW w:type="dxa" w:w="1644"/>
          </w:tcPr>
          <w:p>
            <w:r>
              <w:t>1.72</w:t>
            </w:r>
          </w:p>
        </w:tc>
        <w:tc>
          <w:tcPr>
            <w:tcW w:type="dxa" w:w="1644"/>
          </w:tcPr>
          <w:p>
            <w:r>
              <w:t>1.77</w:t>
            </w:r>
          </w:p>
        </w:tc>
      </w:tr>
      <w:tr>
        <w:tc>
          <w:tcPr>
            <w:tcW w:type="dxa" w:w="2551"/>
          </w:tcPr>
          <w:p>
            <w:r>
              <w:t>Outperformance vs Inflation</w:t>
            </w:r>
          </w:p>
        </w:tc>
        <w:tc>
          <w:tcPr>
            <w:tcW w:type="dxa" w:w="1644"/>
          </w:tcPr>
          <w:p>
            <w:r>
              <w:t>-2.09</w:t>
            </w:r>
          </w:p>
        </w:tc>
        <w:tc>
          <w:tcPr>
            <w:tcW w:type="dxa" w:w="1644"/>
          </w:tcPr>
          <w:p>
            <w:r>
              <w:t>1.19</w:t>
            </w:r>
          </w:p>
        </w:tc>
        <w:tc>
          <w:tcPr>
            <w:tcW w:type="dxa" w:w="1644"/>
          </w:tcPr>
          <w:p>
            <w:r>
              <w:t>5.69</w:t>
            </w:r>
          </w:p>
        </w:tc>
        <w:tc>
          <w:tcPr>
            <w:tcW w:type="dxa" w:w="1644"/>
          </w:tcPr>
          <w:p>
            <w:r>
              <w:t>4.95</w:t>
            </w:r>
          </w:p>
        </w:tc>
        <w:tc>
          <w:tcPr>
            <w:tcW w:type="dxa" w:w="1644"/>
          </w:tcPr>
          <w:p>
            <w:r>
              <w:t>5.96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underlying manager fees and before tax, over rolling five-year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8.27</w:t>
            </w:r>
          </w:p>
        </w:tc>
        <w:tc>
          <w:tcPr>
            <w:tcW w:type="dxa" w:w="1559"/>
          </w:tcPr>
          <w:p>
            <w:r>
              <w:t>8.19</w:t>
            </w:r>
          </w:p>
        </w:tc>
      </w:tr>
      <w:tr>
        <w:tc>
          <w:tcPr>
            <w:tcW w:type="dxa" w:w="1984"/>
          </w:tcPr>
          <w:p>
            <w:r>
              <w:t>International Shares</w:t>
            </w:r>
          </w:p>
        </w:tc>
        <w:tc>
          <w:tcPr>
            <w:tcW w:type="dxa" w:w="1559"/>
          </w:tcPr>
          <w:p>
            <w:r>
              <w:t>11.01</w:t>
            </w:r>
          </w:p>
        </w:tc>
        <w:tc>
          <w:tcPr>
            <w:tcW w:type="dxa" w:w="1559"/>
          </w:tcPr>
          <w:p>
            <w:r>
              <w:t>13.73</w:t>
            </w:r>
          </w:p>
        </w:tc>
      </w:tr>
      <w:tr>
        <w:tc>
          <w:tcPr>
            <w:tcW w:type="dxa" w:w="1984"/>
          </w:tcPr>
          <w:p>
            <w:r>
              <w:t>Real Assets</w:t>
            </w:r>
          </w:p>
        </w:tc>
        <w:tc>
          <w:tcPr>
            <w:tcW w:type="dxa" w:w="1559"/>
          </w:tcPr>
          <w:p>
            <w:r>
              <w:t>9.62</w:t>
            </w:r>
          </w:p>
        </w:tc>
        <w:tc>
          <w:tcPr>
            <w:tcW w:type="dxa" w:w="1559"/>
          </w:tcPr>
          <w:p>
            <w:r>
              <w:t>8.25</w:t>
            </w:r>
          </w:p>
        </w:tc>
      </w:tr>
      <w:tr>
        <w:tc>
          <w:tcPr>
            <w:tcW w:type="dxa" w:w="1984"/>
          </w:tcPr>
          <w:p>
            <w:r>
              <w:t>Alternatives</w:t>
            </w:r>
          </w:p>
        </w:tc>
        <w:tc>
          <w:tcPr>
            <w:tcW w:type="dxa" w:w="1559"/>
          </w:tcPr>
          <w:p>
            <w:r>
              <w:t>8.21</w:t>
            </w:r>
          </w:p>
        </w:tc>
        <w:tc>
          <w:tcPr>
            <w:tcW w:type="dxa" w:w="1559"/>
          </w:tcPr>
          <w:p>
            <w:r>
              <w:t>4.02</w:t>
            </w:r>
          </w:p>
        </w:tc>
      </w:tr>
      <w:tr>
        <w:tc>
          <w:tcPr>
            <w:tcW w:type="dxa" w:w="1984"/>
          </w:tcPr>
          <w:p>
            <w:r>
              <w:t>Long Duration</w:t>
            </w:r>
          </w:p>
        </w:tc>
        <w:tc>
          <w:tcPr>
            <w:tcW w:type="dxa" w:w="1559"/>
          </w:tcPr>
          <w:p>
            <w:r>
              <w:t>5.69</w:t>
            </w:r>
          </w:p>
        </w:tc>
        <w:tc>
          <w:tcPr>
            <w:tcW w:type="dxa" w:w="1559"/>
          </w:tcPr>
          <w:p>
            <w:r>
              <w:t>2.62</w:t>
            </w:r>
          </w:p>
        </w:tc>
      </w:tr>
      <w:tr>
        <w:tc>
          <w:tcPr>
            <w:tcW w:type="dxa" w:w="1984"/>
          </w:tcPr>
          <w:p>
            <w:r>
              <w:t>Floating Rate</w:t>
            </w:r>
          </w:p>
        </w:tc>
        <w:tc>
          <w:tcPr>
            <w:tcW w:type="dxa" w:w="1559"/>
          </w:tcPr>
          <w:p>
            <w:r>
              <w:t>4.63</w:t>
            </w:r>
          </w:p>
        </w:tc>
        <w:tc>
          <w:tcPr>
            <w:tcW w:type="dxa" w:w="1559"/>
          </w:tcPr>
          <w:p>
            <w:r>
              <w:t>5.06</w:t>
            </w:r>
          </w:p>
        </w:tc>
      </w:tr>
      <w:tr>
        <w:tc>
          <w:tcPr>
            <w:tcW w:type="dxa" w:w="1984"/>
          </w:tcPr>
          <w:p>
            <w:r>
              <w:t>Cash</w:t>
            </w:r>
          </w:p>
        </w:tc>
        <w:tc>
          <w:tcPr>
            <w:tcW w:type="dxa" w:w="1559"/>
          </w:tcPr>
          <w:p>
            <w:r>
              <w:t>4.57</w:t>
            </w:r>
          </w:p>
        </w:tc>
        <w:tc>
          <w:tcPr>
            <w:tcW w:type="dxa" w:w="1559"/>
          </w:tcPr>
          <w:p>
            <w:r>
              <w:t>4.44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9.67</w:t>
            </w:r>
          </w:p>
        </w:tc>
        <w:tc>
          <w:tcPr>
            <w:tcW w:type="dxa" w:w="1417"/>
          </w:tcPr>
          <w:p>
            <w:r>
              <w:t>9.3</w:t>
            </w:r>
          </w:p>
        </w:tc>
      </w:tr>
      <w:tr>
        <w:tc>
          <w:tcPr>
            <w:tcW w:type="dxa" w:w="2268"/>
          </w:tcPr>
          <w:p>
            <w:r>
              <w:rPr>
                <w:b/>
              </w:rPr>
              <w:t>BM: Australian Shares</w:t>
            </w:r>
          </w:p>
        </w:tc>
        <w:tc>
          <w:tcPr>
            <w:tcW w:type="dxa" w:w="1417"/>
          </w:tcPr>
          <w:p>
            <w:r>
              <w:rPr>
                <w:b/>
              </w:rPr>
              <w:t>9.67</w:t>
            </w:r>
          </w:p>
        </w:tc>
        <w:tc>
          <w:tcPr>
            <w:tcW w:type="dxa" w:w="1417"/>
          </w:tcPr>
          <w:p>
            <w:r>
              <w:rPr>
                <w:b/>
              </w:rPr>
              <w:t>9.3</w:t>
            </w:r>
          </w:p>
        </w:tc>
      </w:tr>
      <w:tr>
        <w:tc>
          <w:tcPr>
            <w:tcW w:type="dxa" w:w="2268"/>
          </w:tcPr>
          <w:p>
            <w:r>
              <w:t xml:space="preserve">VG MSCI World Hedged </w:t>
            </w:r>
          </w:p>
        </w:tc>
        <w:tc>
          <w:tcPr>
            <w:tcW w:type="dxa" w:w="1417"/>
          </w:tcPr>
          <w:p>
            <w:r>
              <w:t>9.82</w:t>
            </w:r>
          </w:p>
        </w:tc>
        <w:tc>
          <w:tcPr>
            <w:tcW w:type="dxa" w:w="1417"/>
          </w:tcPr>
          <w:p>
            <w:r>
              <w:t>14.74</w:t>
            </w:r>
          </w:p>
        </w:tc>
      </w:tr>
      <w:tr>
        <w:tc>
          <w:tcPr>
            <w:tcW w:type="dxa" w:w="2268"/>
          </w:tcPr>
          <w:p>
            <w:r>
              <w:t>iShares US 500</w:t>
            </w:r>
          </w:p>
        </w:tc>
        <w:tc>
          <w:tcPr>
            <w:tcW w:type="dxa" w:w="1417"/>
          </w:tcPr>
          <w:p>
            <w:r>
              <w:t>13.53</w:t>
            </w:r>
          </w:p>
        </w:tc>
        <w:tc>
          <w:tcPr>
            <w:tcW w:type="dxa" w:w="1417"/>
          </w:tcPr>
          <w:p>
            <w:r>
              <w:t>18.85</w:t>
            </w:r>
          </w:p>
        </w:tc>
      </w:tr>
      <w:tr>
        <w:tc>
          <w:tcPr>
            <w:tcW w:type="dxa" w:w="2268"/>
          </w:tcPr>
          <w:p>
            <w:r>
              <w:t>VG Europe Eq</w:t>
            </w:r>
          </w:p>
        </w:tc>
        <w:tc>
          <w:tcPr>
            <w:tcW w:type="dxa" w:w="1417"/>
          </w:tcPr>
          <w:p>
            <w:r>
              <w:t>15.68</w:t>
            </w:r>
          </w:p>
        </w:tc>
        <w:tc>
          <w:tcPr>
            <w:tcW w:type="dxa" w:w="1417"/>
          </w:tcPr>
          <w:p>
            <w:r>
              <w:t>11.95</w:t>
            </w:r>
          </w:p>
        </w:tc>
      </w:tr>
      <w:tr>
        <w:tc>
          <w:tcPr>
            <w:tcW w:type="dxa" w:w="2268"/>
          </w:tcPr>
          <w:p>
            <w:r>
              <w:t xml:space="preserve">iShares Japan </w:t>
            </w:r>
          </w:p>
        </w:tc>
        <w:tc>
          <w:tcPr>
            <w:tcW w:type="dxa" w:w="1417"/>
          </w:tcPr>
          <w:p>
            <w:r>
              <w:t>9.93</w:t>
            </w:r>
          </w:p>
        </w:tc>
        <w:tc>
          <w:tcPr>
            <w:tcW w:type="dxa" w:w="1417"/>
          </w:tcPr>
          <w:p>
            <w:r>
              <w:t>14.05</w:t>
            </w:r>
          </w:p>
        </w:tc>
      </w:tr>
      <w:tr>
        <w:tc>
          <w:tcPr>
            <w:tcW w:type="dxa" w:w="2268"/>
          </w:tcPr>
          <w:p>
            <w:r>
              <w:t>VG Asia ex Japan</w:t>
            </w:r>
          </w:p>
        </w:tc>
        <w:tc>
          <w:tcPr>
            <w:tcW w:type="dxa" w:w="1417"/>
          </w:tcPr>
          <w:p>
            <w:r>
              <w:t>11.11</w:t>
            </w:r>
          </w:p>
        </w:tc>
        <w:tc>
          <w:tcPr>
            <w:tcW w:type="dxa" w:w="1417"/>
          </w:tcPr>
          <w:p>
            <w:r>
              <w:t>10.61</w:t>
            </w:r>
          </w:p>
        </w:tc>
      </w:tr>
      <w:tr>
        <w:tc>
          <w:tcPr>
            <w:tcW w:type="dxa" w:w="2268"/>
          </w:tcPr>
          <w:p>
            <w:r>
              <w:rPr>
                <w:b/>
              </w:rPr>
              <w:t>BM: International Shares</w:t>
            </w:r>
          </w:p>
        </w:tc>
        <w:tc>
          <w:tcPr>
            <w:tcW w:type="dxa" w:w="1417"/>
          </w:tcPr>
          <w:p>
            <w:r>
              <w:rPr>
                <w:b/>
              </w:rPr>
              <w:t>13.63</w:t>
            </w:r>
          </w:p>
        </w:tc>
        <w:tc>
          <w:tcPr>
            <w:tcW w:type="dxa" w:w="1417"/>
          </w:tcPr>
          <w:p>
            <w:r>
              <w:rPr>
                <w:b/>
              </w:rPr>
              <w:t>16.6</w:t>
            </w:r>
          </w:p>
        </w:tc>
      </w:tr>
      <w:tr>
        <w:tc>
          <w:tcPr>
            <w:tcW w:type="dxa" w:w="2268"/>
          </w:tcPr>
          <w:p>
            <w:r>
              <w:t>VG Global Infra</w:t>
            </w:r>
          </w:p>
        </w:tc>
        <w:tc>
          <w:tcPr>
            <w:tcW w:type="dxa" w:w="1417"/>
          </w:tcPr>
          <w:p>
            <w:r>
              <w:t>19.23</w:t>
            </w:r>
          </w:p>
        </w:tc>
        <w:tc>
          <w:tcPr>
            <w:tcW w:type="dxa" w:w="1417"/>
          </w:tcPr>
          <w:p>
            <w:r>
              <w:t>9.6</w:t>
            </w:r>
          </w:p>
        </w:tc>
      </w:tr>
      <w:tr>
        <w:tc>
          <w:tcPr>
            <w:tcW w:type="dxa" w:w="2268"/>
          </w:tcPr>
          <w:p>
            <w:r>
              <w:t>iShares AREIT</w:t>
            </w:r>
          </w:p>
        </w:tc>
        <w:tc>
          <w:tcPr>
            <w:tcW w:type="dxa" w:w="1417"/>
          </w:tcPr>
          <w:p>
            <w:r>
              <w:t>7.27</w:t>
            </w:r>
          </w:p>
        </w:tc>
        <w:tc>
          <w:tcPr>
            <w:tcW w:type="dxa" w:w="1417"/>
          </w:tcPr>
          <w:p>
            <w:r>
              <w:t>12.86</w:t>
            </w:r>
          </w:p>
        </w:tc>
      </w:tr>
      <w:tr>
        <w:tc>
          <w:tcPr>
            <w:tcW w:type="dxa" w:w="2268"/>
          </w:tcPr>
          <w:p>
            <w:r>
              <w:t>iShares GREIT</w:t>
            </w:r>
          </w:p>
        </w:tc>
        <w:tc>
          <w:tcPr>
            <w:tcW w:type="dxa" w:w="1417"/>
          </w:tcPr>
          <w:p>
            <w:r>
              <w:t>8.03</w:t>
            </w:r>
          </w:p>
        </w:tc>
        <w:tc>
          <w:tcPr>
            <w:tcW w:type="dxa" w:w="1417"/>
          </w:tcPr>
          <w:p>
            <w:r>
              <w:t>4.05</w:t>
            </w:r>
          </w:p>
        </w:tc>
      </w:tr>
      <w:tr>
        <w:tc>
          <w:tcPr>
            <w:tcW w:type="dxa" w:w="2268"/>
          </w:tcPr>
          <w:p>
            <w:r>
              <w:rPr>
                <w:b/>
              </w:rPr>
              <w:t>BM: Real Assets</w:t>
            </w:r>
          </w:p>
        </w:tc>
        <w:tc>
          <w:tcPr>
            <w:tcW w:type="dxa" w:w="1417"/>
          </w:tcPr>
          <w:p>
            <w:r>
              <w:rPr>
                <w:b/>
              </w:rPr>
              <w:t>8.81</w:t>
            </w:r>
          </w:p>
        </w:tc>
        <w:tc>
          <w:tcPr>
            <w:tcW w:type="dxa" w:w="1417"/>
          </w:tcPr>
          <w:p>
            <w:r>
              <w:rPr>
                <w:b/>
              </w:rPr>
              <w:t>5.94</w:t>
            </w:r>
          </w:p>
        </w:tc>
      </w:tr>
      <w:tr>
        <w:tc>
          <w:tcPr>
            <w:tcW w:type="dxa" w:w="2268"/>
          </w:tcPr>
          <w:p>
            <w:r>
              <w:t>iShares Physical Gold</w:t>
            </w:r>
          </w:p>
        </w:tc>
        <w:tc>
          <w:tcPr>
            <w:tcW w:type="dxa" w:w="1417"/>
          </w:tcPr>
          <w:p>
            <w:r>
              <w:t>44.63</w:t>
            </w:r>
          </w:p>
        </w:tc>
        <w:tc>
          <w:tcPr>
            <w:tcW w:type="dxa" w:w="1417"/>
          </w:tcPr>
          <w:p>
            <w:r>
              <w:t>28.13</w:t>
            </w:r>
          </w:p>
        </w:tc>
      </w:tr>
      <w:tr>
        <w:tc>
          <w:tcPr>
            <w:tcW w:type="dxa" w:w="2268"/>
          </w:tcPr>
          <w:p>
            <w:r>
              <w:rPr>
                <w:b/>
              </w:rPr>
              <w:t>BM: Alternatives</w:t>
            </w:r>
          </w:p>
        </w:tc>
        <w:tc>
          <w:tcPr>
            <w:tcW w:type="dxa" w:w="1417"/>
          </w:tcPr>
          <w:p>
            <w:r>
              <w:rPr>
                <w:b/>
              </w:rPr>
              <w:t>4.57</w:t>
            </w:r>
          </w:p>
        </w:tc>
        <w:tc>
          <w:tcPr>
            <w:tcW w:type="dxa" w:w="1417"/>
          </w:tcPr>
          <w:p>
            <w:r>
              <w:rPr>
                <w:b/>
              </w:rPr>
              <w:t>4.46</w:t>
            </w:r>
          </w:p>
        </w:tc>
      </w:tr>
      <w:tr>
        <w:tc>
          <w:tcPr>
            <w:tcW w:type="dxa" w:w="2268"/>
          </w:tcPr>
          <w:p>
            <w:r>
              <w:t>iShares Aus Bond</w:t>
            </w:r>
          </w:p>
        </w:tc>
        <w:tc>
          <w:tcPr>
            <w:tcW w:type="dxa" w:w="1417"/>
          </w:tcPr>
          <w:p>
            <w:r>
              <w:t>7.0</w:t>
            </w:r>
          </w:p>
        </w:tc>
        <w:tc>
          <w:tcPr>
            <w:tcW w:type="dxa" w:w="1417"/>
          </w:tcPr>
          <w:p>
            <w:r>
              <w:t>3.02</w:t>
            </w:r>
          </w:p>
        </w:tc>
      </w:tr>
      <w:tr>
        <w:tc>
          <w:tcPr>
            <w:tcW w:type="dxa" w:w="2268"/>
          </w:tcPr>
          <w:p>
            <w:r>
              <w:t>iShares CPI Bond</w:t>
            </w:r>
          </w:p>
        </w:tc>
        <w:tc>
          <w:tcPr>
            <w:tcW w:type="dxa" w:w="1417"/>
          </w:tcPr>
          <w:p>
            <w:r>
              <w:t>2.28</w:t>
            </w:r>
          </w:p>
        </w:tc>
        <w:tc>
          <w:tcPr>
            <w:tcW w:type="dxa" w:w="1417"/>
          </w:tcPr>
          <w:p>
            <w:r>
              <w:t>1.19</w:t>
            </w:r>
          </w:p>
        </w:tc>
      </w:tr>
      <w:tr>
        <w:tc>
          <w:tcPr>
            <w:tcW w:type="dxa" w:w="2268"/>
          </w:tcPr>
          <w:p>
            <w:r>
              <w:t>iShares Globa Agg ESG</w:t>
            </w:r>
          </w:p>
        </w:tc>
        <w:tc>
          <w:tcPr>
            <w:tcW w:type="dxa" w:w="1417"/>
          </w:tcPr>
          <w:p>
            <w:r>
              <w:t>6.32</w:t>
            </w:r>
          </w:p>
        </w:tc>
        <w:tc>
          <w:tcPr>
            <w:tcW w:type="dxa" w:w="1417"/>
          </w:tcPr>
          <w:p>
            <w:r>
              <w:t>3.12</w:t>
            </w:r>
          </w:p>
        </w:tc>
      </w:tr>
      <w:tr>
        <w:tc>
          <w:tcPr>
            <w:tcW w:type="dxa" w:w="2268"/>
          </w:tcPr>
          <w:p>
            <w:r>
              <w:rPr>
                <w:b/>
              </w:rPr>
              <w:t>BM: Duration</w:t>
            </w:r>
          </w:p>
        </w:tc>
        <w:tc>
          <w:tcPr>
            <w:tcW w:type="dxa" w:w="1417"/>
          </w:tcPr>
          <w:p>
            <w:r>
              <w:rPr>
                <w:b/>
              </w:rPr>
              <w:t>6.68</w:t>
            </w:r>
          </w:p>
        </w:tc>
        <w:tc>
          <w:tcPr>
            <w:tcW w:type="dxa" w:w="1417"/>
          </w:tcPr>
          <w:p>
            <w:r>
              <w:rPr>
                <w:b/>
              </w:rPr>
              <w:t>3.1</w:t>
            </w:r>
          </w:p>
        </w:tc>
      </w:tr>
      <w:tr>
        <w:tc>
          <w:tcPr>
            <w:tcW w:type="dxa" w:w="2268"/>
          </w:tcPr>
          <w:p>
            <w:r>
              <w:t>VanEck FRN</w:t>
            </w:r>
          </w:p>
        </w:tc>
        <w:tc>
          <w:tcPr>
            <w:tcW w:type="dxa" w:w="1417"/>
          </w:tcPr>
          <w:p>
            <w:r>
              <w:t>4.97</w:t>
            </w:r>
          </w:p>
        </w:tc>
        <w:tc>
          <w:tcPr>
            <w:tcW w:type="dxa" w:w="1417"/>
          </w:tcPr>
          <w:p>
            <w:r>
              <w:t>5.09</w:t>
            </w:r>
          </w:p>
        </w:tc>
      </w:tr>
      <w:tr>
        <w:tc>
          <w:tcPr>
            <w:tcW w:type="dxa" w:w="2268"/>
          </w:tcPr>
          <w:p>
            <w:r>
              <w:t>BetaShares Hybrids</w:t>
            </w:r>
          </w:p>
        </w:tc>
        <w:tc>
          <w:tcPr>
            <w:tcW w:type="dxa" w:w="1417"/>
          </w:tcPr>
          <w:p>
            <w:r>
              <w:t>3.99</w:t>
            </w:r>
          </w:p>
        </w:tc>
        <w:tc>
          <w:tcPr>
            <w:tcW w:type="dxa" w:w="1417"/>
          </w:tcPr>
          <w:p>
            <w:r>
              <w:t>5.3</w:t>
            </w:r>
          </w:p>
        </w:tc>
      </w:tr>
      <w:tr>
        <w:tc>
          <w:tcPr>
            <w:tcW w:type="dxa" w:w="2268"/>
          </w:tcPr>
          <w:p>
            <w:r>
              <w:t>iShares Enh Cash</w:t>
            </w:r>
          </w:p>
        </w:tc>
        <w:tc>
          <w:tcPr>
            <w:tcW w:type="dxa" w:w="1417"/>
          </w:tcPr>
          <w:p>
            <w:r>
              <w:t>4.67</w:t>
            </w:r>
          </w:p>
        </w:tc>
        <w:tc>
          <w:tcPr>
            <w:tcW w:type="dxa" w:w="1417"/>
          </w:tcPr>
          <w:p>
            <w:r>
              <w:t>4.57</w:t>
            </w:r>
          </w:p>
        </w:tc>
      </w:tr>
      <w:tr>
        <w:tc>
          <w:tcPr>
            <w:tcW w:type="dxa" w:w="2268"/>
          </w:tcPr>
          <w:p>
            <w:r>
              <w:rPr>
                <w:b/>
              </w:rPr>
              <w:t>BM: Floating</w:t>
            </w:r>
          </w:p>
        </w:tc>
        <w:tc>
          <w:tcPr>
            <w:tcW w:type="dxa" w:w="1417"/>
          </w:tcPr>
          <w:p>
            <w:r>
              <w:rPr>
                <w:b/>
              </w:rPr>
              <w:t>4.97</w:t>
            </w:r>
          </w:p>
        </w:tc>
        <w:tc>
          <w:tcPr>
            <w:tcW w:type="dxa" w:w="1417"/>
          </w:tcPr>
          <w:p>
            <w:r>
              <w:rPr>
                <w:b/>
              </w:rPr>
              <w:t>5.09</w:t>
            </w:r>
          </w:p>
        </w:tc>
      </w:tr>
      <w:tr>
        <w:tc>
          <w:tcPr>
            <w:tcW w:type="dxa" w:w="2268"/>
          </w:tcPr>
          <w:p>
            <w:r>
              <w:t>iShares Cash</w:t>
            </w:r>
          </w:p>
        </w:tc>
        <w:tc>
          <w:tcPr>
            <w:tcW w:type="dxa" w:w="1417"/>
          </w:tcPr>
          <w:p>
            <w:r>
              <w:t>4.57</w:t>
            </w:r>
          </w:p>
        </w:tc>
        <w:tc>
          <w:tcPr>
            <w:tcW w:type="dxa" w:w="1417"/>
          </w:tcPr>
          <w:p>
            <w:r>
              <w:t>4.44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