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55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Atchison55ETF</w:t>
            </w:r>
          </w:p>
        </w:tc>
        <w:tc>
          <w:tcPr>
            <w:tcW w:type="dxa" w:w="1644"/>
          </w:tcPr>
          <w:p>
            <w:r>
              <w:rPr>
                <w:b/>
              </w:rPr>
              <w:t>4.57</w:t>
            </w:r>
          </w:p>
        </w:tc>
        <w:tc>
          <w:tcPr>
            <w:tcW w:type="dxa" w:w="1644"/>
          </w:tcPr>
          <w:p>
            <w:r>
              <w:rPr>
                <w:b/>
              </w:rPr>
              <w:t>5.19</w:t>
            </w:r>
          </w:p>
        </w:tc>
        <w:tc>
          <w:tcPr>
            <w:tcW w:type="dxa" w:w="1644"/>
          </w:tcPr>
          <w:p>
            <w:r>
              <w:rPr>
                <w:b/>
              </w:rPr>
              <w:t>11.52</w:t>
            </w:r>
          </w:p>
        </w:tc>
        <w:tc>
          <w:tcPr>
            <w:tcW w:type="dxa" w:w="1644"/>
          </w:tcPr>
          <w:p>
            <w:r>
              <w:rPr>
                <w:b/>
              </w:rPr>
              <w:t>10.98</w:t>
            </w:r>
          </w:p>
        </w:tc>
        <w:tc>
          <w:tcPr>
            <w:tcW w:type="dxa" w:w="1644"/>
          </w:tcPr>
          <w:p>
            <w:r>
              <w:rPr>
                <w:b/>
              </w:rPr>
              <w:t>10.79</w:t>
            </w:r>
          </w:p>
        </w:tc>
      </w:tr>
      <w:tr>
        <w:tc>
          <w:tcPr>
            <w:tcW w:type="dxa" w:w="2551"/>
          </w:tcPr>
          <w:p>
            <w:r>
              <w:t>Peer Group</w:t>
            </w:r>
          </w:p>
        </w:tc>
        <w:tc>
          <w:tcPr>
            <w:tcW w:type="dxa" w:w="1644"/>
          </w:tcPr>
          <w:p>
            <w:r>
              <w:t>4.2</w:t>
            </w:r>
          </w:p>
        </w:tc>
        <w:tc>
          <w:tcPr>
            <w:tcW w:type="dxa" w:w="1644"/>
          </w:tcPr>
          <w:p>
            <w:r>
              <w:t>3.84</w:t>
            </w:r>
          </w:p>
        </w:tc>
        <w:tc>
          <w:tcPr>
            <w:tcW w:type="dxa" w:w="1644"/>
          </w:tcPr>
          <w:p>
            <w:r>
              <w:t>9.23</w:t>
            </w:r>
          </w:p>
        </w:tc>
        <w:tc>
          <w:tcPr>
            <w:tcW w:type="dxa" w:w="1644"/>
          </w:tcPr>
          <w:p>
            <w:r>
              <w:t>8.6</w:t>
            </w:r>
          </w:p>
        </w:tc>
        <w:tc>
          <w:tcPr>
            <w:tcW w:type="dxa" w:w="1644"/>
          </w:tcPr>
          <w:p>
            <w:r>
              <w:t>8.81</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0.38</w:t>
            </w:r>
          </w:p>
        </w:tc>
        <w:tc>
          <w:tcPr>
            <w:tcW w:type="dxa" w:w="1644"/>
          </w:tcPr>
          <w:p>
            <w:r>
              <w:t>1.34</w:t>
            </w:r>
          </w:p>
        </w:tc>
        <w:tc>
          <w:tcPr>
            <w:tcW w:type="dxa" w:w="1644"/>
          </w:tcPr>
          <w:p>
            <w:r>
              <w:t>2.29</w:t>
            </w:r>
          </w:p>
        </w:tc>
        <w:tc>
          <w:tcPr>
            <w:tcW w:type="dxa" w:w="1644"/>
          </w:tcPr>
          <w:p>
            <w:r>
              <w:t>2.38</w:t>
            </w:r>
          </w:p>
        </w:tc>
        <w:tc>
          <w:tcPr>
            <w:tcW w:type="dxa" w:w="1644"/>
          </w:tcPr>
          <w:p>
            <w:r>
              <w:t>1.98</w:t>
            </w:r>
          </w:p>
        </w:tc>
      </w:tr>
      <w:tr>
        <w:tc>
          <w:tcPr>
            <w:tcW w:type="dxa" w:w="2551"/>
          </w:tcPr>
          <w:p>
            <w:r>
              <w:t>Outperformance vs Inflation</w:t>
            </w:r>
          </w:p>
        </w:tc>
        <w:tc>
          <w:tcPr>
            <w:tcW w:type="dxa" w:w="1644"/>
          </w:tcPr>
          <w:p>
            <w:r>
              <w:t>3.22</w:t>
            </w:r>
          </w:p>
        </w:tc>
        <w:tc>
          <w:tcPr>
            <w:tcW w:type="dxa" w:w="1644"/>
          </w:tcPr>
          <w:p>
            <w:r>
              <w:t>3.74</w:t>
            </w:r>
          </w:p>
        </w:tc>
        <w:tc>
          <w:tcPr>
            <w:tcW w:type="dxa" w:w="1644"/>
          </w:tcPr>
          <w:p>
            <w:r>
              <w:t>9.42</w:t>
            </w:r>
          </w:p>
        </w:tc>
        <w:tc>
          <w:tcPr>
            <w:tcW w:type="dxa" w:w="1644"/>
          </w:tcPr>
          <w:p>
            <w:r>
              <w:t>8.03</w:t>
            </w:r>
          </w:p>
        </w:tc>
        <w:tc>
          <w:tcPr>
            <w:tcW w:type="dxa" w:w="1644"/>
          </w:tcPr>
          <w:p>
            <w:r>
              <w:t>7.87</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Balanced Peer Index, after underlying manager fees and before tax, over rolling seven-year periods.</w:t>
      </w:r>
    </w:p>
    <w:p>
      <w:pPr>
        <w:pStyle w:val="Heading20"/>
      </w:pPr>
      <w:r>
        <w:t>Strategy Overview</w:t>
      </w:r>
    </w:p>
    <w:p>
      <w:pPr>
        <w:pStyle w:val="BodyStyle"/>
      </w:pPr>
      <w:r>
        <w:t>Atchison Dynamic ETF 55 Portfolio is a Separately Managed Account (SMA), which is an all-inclusive diversified, multi-asset, passive, low-cost, ETF investment portfolio professionally managed for you (the client) on behalf of a financial advisor. This portfolio is made up of 55% growth assets, and 45%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MSFT.NAS</w:t>
            </w:r>
          </w:p>
        </w:tc>
        <w:tc>
          <w:tcPr>
            <w:tcW w:type="dxa" w:w="3685"/>
          </w:tcPr>
          <w:p>
            <w:r>
              <w:t>MICROSOFT CORP</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13.1</w:t>
            </w:r>
          </w:p>
        </w:tc>
        <w:tc>
          <w:tcPr>
            <w:tcW w:type="dxa" w:w="1559"/>
          </w:tcPr>
          <w:p>
            <w:r>
              <w:t>12.13</w:t>
            </w:r>
          </w:p>
        </w:tc>
      </w:tr>
      <w:tr>
        <w:tc>
          <w:tcPr>
            <w:tcW w:type="dxa" w:w="1984"/>
          </w:tcPr>
          <w:p>
            <w:r>
              <w:t>International Shares</w:t>
            </w:r>
          </w:p>
        </w:tc>
        <w:tc>
          <w:tcPr>
            <w:tcW w:type="dxa" w:w="1559"/>
          </w:tcPr>
          <w:p>
            <w:r>
              <w:t>15.07</w:t>
            </w:r>
          </w:p>
        </w:tc>
        <w:tc>
          <w:tcPr>
            <w:tcW w:type="dxa" w:w="1559"/>
          </w:tcPr>
          <w:p>
            <w:r>
              <w:t>17.17</w:t>
            </w:r>
          </w:p>
        </w:tc>
      </w:tr>
      <w:tr>
        <w:tc>
          <w:tcPr>
            <w:tcW w:type="dxa" w:w="1984"/>
          </w:tcPr>
          <w:p>
            <w:r>
              <w:t>Real Assets</w:t>
            </w:r>
          </w:p>
        </w:tc>
        <w:tc>
          <w:tcPr>
            <w:tcW w:type="dxa" w:w="1559"/>
          </w:tcPr>
          <w:p>
            <w:r>
              <w:t>8.13</w:t>
            </w:r>
          </w:p>
        </w:tc>
        <w:tc>
          <w:tcPr>
            <w:tcW w:type="dxa" w:w="1559"/>
          </w:tcPr>
          <w:p>
            <w:r>
              <w:t>9.7</w:t>
            </w:r>
          </w:p>
        </w:tc>
      </w:tr>
      <w:tr>
        <w:tc>
          <w:tcPr>
            <w:tcW w:type="dxa" w:w="1984"/>
          </w:tcPr>
          <w:p>
            <w:r>
              <w:t>Alternatives</w:t>
            </w:r>
          </w:p>
        </w:tc>
        <w:tc>
          <w:tcPr>
            <w:tcW w:type="dxa" w:w="1559"/>
          </w:tcPr>
          <w:p>
            <w:r>
              <w:t>38.07</w:t>
            </w:r>
          </w:p>
        </w:tc>
        <w:tc>
          <w:tcPr>
            <w:tcW w:type="dxa" w:w="1559"/>
          </w:tcPr>
          <w:p>
            <w:r>
              <w:t>17.48</w:t>
            </w:r>
          </w:p>
        </w:tc>
      </w:tr>
      <w:tr>
        <w:tc>
          <w:tcPr>
            <w:tcW w:type="dxa" w:w="1984"/>
          </w:tcPr>
          <w:p>
            <w:r>
              <w:t>Long Duration</w:t>
            </w:r>
          </w:p>
        </w:tc>
        <w:tc>
          <w:tcPr>
            <w:tcW w:type="dxa" w:w="1559"/>
          </w:tcPr>
          <w:p>
            <w:r>
              <w:t>5.13</w:t>
            </w:r>
          </w:p>
        </w:tc>
        <w:tc>
          <w:tcPr>
            <w:tcW w:type="dxa" w:w="1559"/>
          </w:tcPr>
          <w:p>
            <w:r>
              <w:t>4.04</w:t>
            </w:r>
          </w:p>
        </w:tc>
      </w:tr>
      <w:tr>
        <w:tc>
          <w:tcPr>
            <w:tcW w:type="dxa" w:w="1984"/>
          </w:tcPr>
          <w:p>
            <w:r>
              <w:t>Floating Rate</w:t>
            </w:r>
          </w:p>
        </w:tc>
        <w:tc>
          <w:tcPr>
            <w:tcW w:type="dxa" w:w="1559"/>
          </w:tcPr>
          <w:p>
            <w:r>
              <w:t>4.81</w:t>
            </w:r>
          </w:p>
        </w:tc>
        <w:tc>
          <w:tcPr>
            <w:tcW w:type="dxa" w:w="1559"/>
          </w:tcPr>
          <w:p>
            <w:r>
              <w:t>5.24</w:t>
            </w:r>
          </w:p>
        </w:tc>
      </w:tr>
      <w:tr>
        <w:tc>
          <w:tcPr>
            <w:tcW w:type="dxa" w:w="1984"/>
          </w:tcPr>
          <w:p>
            <w:r>
              <w:t>Cash</w:t>
            </w:r>
          </w:p>
        </w:tc>
        <w:tc>
          <w:tcPr>
            <w:tcW w:type="dxa" w:w="1559"/>
          </w:tcPr>
          <w:p>
            <w:r>
              <w:t>4.51</w:t>
            </w:r>
          </w:p>
        </w:tc>
        <w:tc>
          <w:tcPr>
            <w:tcW w:type="dxa" w:w="1559"/>
          </w:tcPr>
          <w:p>
            <w:r>
              <w:t>4.47</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13.75</w:t>
            </w:r>
          </w:p>
        </w:tc>
        <w:tc>
          <w:tcPr>
            <w:tcW w:type="dxa" w:w="1417"/>
          </w:tcPr>
          <w:p>
            <w:r>
              <w:t>12.83</w:t>
            </w:r>
          </w:p>
        </w:tc>
      </w:tr>
      <w:tr>
        <w:tc>
          <w:tcPr>
            <w:tcW w:type="dxa" w:w="2268"/>
          </w:tcPr>
          <w:p>
            <w:r>
              <w:rPr>
                <w:b/>
              </w:rPr>
              <w:t>BM: Australian Shares</w:t>
            </w:r>
          </w:p>
        </w:tc>
        <w:tc>
          <w:tcPr>
            <w:tcW w:type="dxa" w:w="1417"/>
          </w:tcPr>
          <w:p>
            <w:r>
              <w:rPr>
                <w:b/>
              </w:rPr>
              <w:t>13.73</w:t>
            </w:r>
          </w:p>
        </w:tc>
        <w:tc>
          <w:tcPr>
            <w:tcW w:type="dxa" w:w="1417"/>
          </w:tcPr>
          <w:p>
            <w:r>
              <w:rPr>
                <w:b/>
              </w:rPr>
              <w:t>12.82</w:t>
            </w:r>
          </w:p>
        </w:tc>
      </w:tr>
      <w:tr>
        <w:tc>
          <w:tcPr>
            <w:tcW w:type="dxa" w:w="2268"/>
          </w:tcPr>
          <w:p>
            <w:r>
              <w:t xml:space="preserve">VG MSCI World Hedged </w:t>
            </w:r>
          </w:p>
        </w:tc>
        <w:tc>
          <w:tcPr>
            <w:tcW w:type="dxa" w:w="1417"/>
          </w:tcPr>
          <w:p>
            <w:r>
              <w:t>12.68</w:t>
            </w:r>
          </w:p>
        </w:tc>
        <w:tc>
          <w:tcPr>
            <w:tcW w:type="dxa" w:w="1417"/>
          </w:tcPr>
          <w:p>
            <w:r>
              <w:t>17.25</w:t>
            </w:r>
          </w:p>
        </w:tc>
      </w:tr>
      <w:tr>
        <w:tc>
          <w:tcPr>
            <w:tcW w:type="dxa" w:w="2268"/>
          </w:tcPr>
          <w:p>
            <w:r>
              <w:t>iShares US 500</w:t>
            </w:r>
          </w:p>
        </w:tc>
        <w:tc>
          <w:tcPr>
            <w:tcW w:type="dxa" w:w="1417"/>
          </w:tcPr>
          <w:p>
            <w:r>
              <w:t>15.28</w:t>
            </w:r>
          </w:p>
        </w:tc>
        <w:tc>
          <w:tcPr>
            <w:tcW w:type="dxa" w:w="1417"/>
          </w:tcPr>
          <w:p>
            <w:r>
              <w:t>20.72</w:t>
            </w:r>
          </w:p>
        </w:tc>
      </w:tr>
      <w:tr>
        <w:tc>
          <w:tcPr>
            <w:tcW w:type="dxa" w:w="2268"/>
          </w:tcPr>
          <w:p>
            <w:r>
              <w:t>VG Europe Eq</w:t>
            </w:r>
          </w:p>
        </w:tc>
        <w:tc>
          <w:tcPr>
            <w:tcW w:type="dxa" w:w="1417"/>
          </w:tcPr>
          <w:p>
            <w:r>
              <w:t>20.29</w:t>
            </w:r>
          </w:p>
        </w:tc>
        <w:tc>
          <w:tcPr>
            <w:tcW w:type="dxa" w:w="1417"/>
          </w:tcPr>
          <w:p>
            <w:r>
              <w:t>16.57</w:t>
            </w:r>
          </w:p>
        </w:tc>
      </w:tr>
      <w:tr>
        <w:tc>
          <w:tcPr>
            <w:tcW w:type="dxa" w:w="2268"/>
          </w:tcPr>
          <w:p>
            <w:r>
              <w:t xml:space="preserve">iShares Japan </w:t>
            </w:r>
          </w:p>
        </w:tc>
        <w:tc>
          <w:tcPr>
            <w:tcW w:type="dxa" w:w="1417"/>
          </w:tcPr>
          <w:p>
            <w:r>
              <w:t>14.62</w:t>
            </w:r>
          </w:p>
        </w:tc>
        <w:tc>
          <w:tcPr>
            <w:tcW w:type="dxa" w:w="1417"/>
          </w:tcPr>
          <w:p>
            <w:r>
              <w:t>13.49</w:t>
            </w:r>
          </w:p>
        </w:tc>
      </w:tr>
      <w:tr>
        <w:tc>
          <w:tcPr>
            <w:tcW w:type="dxa" w:w="2268"/>
          </w:tcPr>
          <w:p>
            <w:r>
              <w:t>VG Asia ex Japan</w:t>
            </w:r>
          </w:p>
        </w:tc>
        <w:tc>
          <w:tcPr>
            <w:tcW w:type="dxa" w:w="1417"/>
          </w:tcPr>
          <w:p>
            <w:r>
              <w:t>18.15</w:t>
            </w:r>
          </w:p>
        </w:tc>
        <w:tc>
          <w:tcPr>
            <w:tcW w:type="dxa" w:w="1417"/>
          </w:tcPr>
          <w:p>
            <w:r>
              <w:t>15.39</w:t>
            </w:r>
          </w:p>
        </w:tc>
      </w:tr>
      <w:tr>
        <w:tc>
          <w:tcPr>
            <w:tcW w:type="dxa" w:w="2268"/>
          </w:tcPr>
          <w:p>
            <w:r>
              <w:rPr>
                <w:b/>
              </w:rPr>
              <w:t>BM: International Shares</w:t>
            </w:r>
          </w:p>
        </w:tc>
        <w:tc>
          <w:tcPr>
            <w:tcW w:type="dxa" w:w="1417"/>
          </w:tcPr>
          <w:p>
            <w:r>
              <w:rPr>
                <w:b/>
              </w:rPr>
              <w:t>18.66</w:t>
            </w:r>
          </w:p>
        </w:tc>
        <w:tc>
          <w:tcPr>
            <w:tcW w:type="dxa" w:w="1417"/>
          </w:tcPr>
          <w:p>
            <w:r>
              <w:rPr>
                <w:b/>
              </w:rPr>
              <w:t>18.44</w:t>
            </w:r>
          </w:p>
        </w:tc>
      </w:tr>
      <w:tr>
        <w:tc>
          <w:tcPr>
            <w:tcW w:type="dxa" w:w="2268"/>
          </w:tcPr>
          <w:p>
            <w:r>
              <w:t>VG Global Infra</w:t>
            </w:r>
          </w:p>
        </w:tc>
        <w:tc>
          <w:tcPr>
            <w:tcW w:type="dxa" w:w="1417"/>
          </w:tcPr>
          <w:p>
            <w:r>
              <w:t>18.22</w:t>
            </w:r>
          </w:p>
        </w:tc>
        <w:tc>
          <w:tcPr>
            <w:tcW w:type="dxa" w:w="1417"/>
          </w:tcPr>
          <w:p>
            <w:r>
              <w:t>10.78</w:t>
            </w:r>
          </w:p>
        </w:tc>
      </w:tr>
      <w:tr>
        <w:tc>
          <w:tcPr>
            <w:tcW w:type="dxa" w:w="2268"/>
          </w:tcPr>
          <w:p>
            <w:r>
              <w:t>iShares AREIT</w:t>
            </w:r>
          </w:p>
        </w:tc>
        <w:tc>
          <w:tcPr>
            <w:tcW w:type="dxa" w:w="1417"/>
          </w:tcPr>
          <w:p>
            <w:r>
              <w:t>12.04</w:t>
            </w:r>
          </w:p>
        </w:tc>
        <w:tc>
          <w:tcPr>
            <w:tcW w:type="dxa" w:w="1417"/>
          </w:tcPr>
          <w:p>
            <w:r>
              <w:t>17.69</w:t>
            </w:r>
          </w:p>
        </w:tc>
      </w:tr>
      <w:tr>
        <w:tc>
          <w:tcPr>
            <w:tcW w:type="dxa" w:w="2268"/>
          </w:tcPr>
          <w:p>
            <w:r>
              <w:t>iShares GREIT</w:t>
            </w:r>
          </w:p>
        </w:tc>
        <w:tc>
          <w:tcPr>
            <w:tcW w:type="dxa" w:w="1417"/>
          </w:tcPr>
          <w:p>
            <w:r>
              <w:t>7.48</w:t>
            </w:r>
          </w:p>
        </w:tc>
        <w:tc>
          <w:tcPr>
            <w:tcW w:type="dxa" w:w="1417"/>
          </w:tcPr>
          <w:p>
            <w:r>
              <w:t>6.19</w:t>
            </w:r>
          </w:p>
        </w:tc>
      </w:tr>
      <w:tr>
        <w:tc>
          <w:tcPr>
            <w:tcW w:type="dxa" w:w="2268"/>
          </w:tcPr>
          <w:p>
            <w:r>
              <w:rPr>
                <w:b/>
              </w:rPr>
              <w:t>BM: Real Assets</w:t>
            </w:r>
          </w:p>
        </w:tc>
        <w:tc>
          <w:tcPr>
            <w:tcW w:type="dxa" w:w="1417"/>
          </w:tcPr>
          <w:p>
            <w:r>
              <w:rPr>
                <w:b/>
              </w:rPr>
              <w:t>9.37</w:t>
            </w:r>
          </w:p>
        </w:tc>
        <w:tc>
          <w:tcPr>
            <w:tcW w:type="dxa" w:w="1417"/>
          </w:tcPr>
          <w:p>
            <w:r>
              <w:rPr>
                <w:b/>
              </w:rPr>
              <w:t>8.25</w:t>
            </w:r>
          </w:p>
        </w:tc>
      </w:tr>
      <w:tr>
        <w:tc>
          <w:tcPr>
            <w:tcW w:type="dxa" w:w="2268"/>
          </w:tcPr>
          <w:p>
            <w:r>
              <w:t>iShares Physical Gold</w:t>
            </w:r>
          </w:p>
        </w:tc>
        <w:tc>
          <w:tcPr>
            <w:tcW w:type="dxa" w:w="1417"/>
          </w:tcPr>
          <w:p>
            <w:r>
              <w:t>42.95</w:t>
            </w:r>
          </w:p>
        </w:tc>
        <w:tc>
          <w:tcPr>
            <w:tcW w:type="dxa" w:w="1417"/>
          </w:tcPr>
          <w:p>
            <w:r>
              <w:t>26.33</w:t>
            </w:r>
          </w:p>
        </w:tc>
      </w:tr>
      <w:tr>
        <w:tc>
          <w:tcPr>
            <w:tcW w:type="dxa" w:w="2268"/>
          </w:tcPr>
          <w:p>
            <w:r>
              <w:rPr>
                <w:b/>
              </w:rPr>
              <w:t>BM: Alternatives</w:t>
            </w:r>
          </w:p>
        </w:tc>
        <w:tc>
          <w:tcPr>
            <w:tcW w:type="dxa" w:w="1417"/>
          </w:tcPr>
          <w:p>
            <w:r>
              <w:rPr>
                <w:b/>
              </w:rPr>
              <w:t>4.51</w:t>
            </w:r>
          </w:p>
        </w:tc>
        <w:tc>
          <w:tcPr>
            <w:tcW w:type="dxa" w:w="1417"/>
          </w:tcPr>
          <w:p>
            <w:r>
              <w:rPr>
                <w:b/>
              </w:rPr>
              <w:t>4.49</w:t>
            </w:r>
          </w:p>
        </w:tc>
      </w:tr>
      <w:tr>
        <w:tc>
          <w:tcPr>
            <w:tcW w:type="dxa" w:w="2268"/>
          </w:tcPr>
          <w:p>
            <w:r>
              <w:t>iShares Aus Bond</w:t>
            </w:r>
          </w:p>
        </w:tc>
        <w:tc>
          <w:tcPr>
            <w:tcW w:type="dxa" w:w="1417"/>
          </w:tcPr>
          <w:p>
            <w:r>
              <w:t>6.91</w:t>
            </w:r>
          </w:p>
        </w:tc>
        <w:tc>
          <w:tcPr>
            <w:tcW w:type="dxa" w:w="1417"/>
          </w:tcPr>
          <w:p>
            <w:r>
              <w:t>5.15</w:t>
            </w:r>
          </w:p>
        </w:tc>
      </w:tr>
      <w:tr>
        <w:tc>
          <w:tcPr>
            <w:tcW w:type="dxa" w:w="2268"/>
          </w:tcPr>
          <w:p>
            <w:r>
              <w:t>iShares CPI Bond</w:t>
            </w:r>
          </w:p>
        </w:tc>
        <w:tc>
          <w:tcPr>
            <w:tcW w:type="dxa" w:w="1417"/>
          </w:tcPr>
          <w:p>
            <w:r>
              <w:t>3.29</w:t>
            </w:r>
          </w:p>
        </w:tc>
        <w:tc>
          <w:tcPr>
            <w:tcW w:type="dxa" w:w="1417"/>
          </w:tcPr>
          <w:p>
            <w:r>
              <w:t>3.08</w:t>
            </w:r>
          </w:p>
        </w:tc>
      </w:tr>
      <w:tr>
        <w:tc>
          <w:tcPr>
            <w:tcW w:type="dxa" w:w="2268"/>
          </w:tcPr>
          <w:p>
            <w:r>
              <w:t>iShares Globa Agg ESG</w:t>
            </w:r>
          </w:p>
        </w:tc>
        <w:tc>
          <w:tcPr>
            <w:tcW w:type="dxa" w:w="1417"/>
          </w:tcPr>
          <w:p>
            <w:r>
              <w:t>4.99</w:t>
            </w:r>
          </w:p>
        </w:tc>
        <w:tc>
          <w:tcPr>
            <w:tcW w:type="dxa" w:w="1417"/>
          </w:tcPr>
          <w:p>
            <w:r>
              <w:t>3.87</w:t>
            </w:r>
          </w:p>
        </w:tc>
      </w:tr>
      <w:tr>
        <w:tc>
          <w:tcPr>
            <w:tcW w:type="dxa" w:w="2268"/>
          </w:tcPr>
          <w:p>
            <w:r>
              <w:rPr>
                <w:b/>
              </w:rPr>
              <w:t>BM: Duration</w:t>
            </w:r>
          </w:p>
        </w:tc>
        <w:tc>
          <w:tcPr>
            <w:tcW w:type="dxa" w:w="1417"/>
          </w:tcPr>
          <w:p>
            <w:r>
              <w:rPr>
                <w:b/>
              </w:rPr>
              <w:t>6.02</w:t>
            </w:r>
          </w:p>
        </w:tc>
        <w:tc>
          <w:tcPr>
            <w:tcW w:type="dxa" w:w="1417"/>
          </w:tcPr>
          <w:p>
            <w:r>
              <w:rPr>
                <w:b/>
              </w:rPr>
              <w:t>4.48</w:t>
            </w:r>
          </w:p>
        </w:tc>
      </w:tr>
      <w:tr>
        <w:tc>
          <w:tcPr>
            <w:tcW w:type="dxa" w:w="2268"/>
          </w:tcPr>
          <w:p>
            <w:r>
              <w:t>VanEck FRN</w:t>
            </w:r>
          </w:p>
        </w:tc>
        <w:tc>
          <w:tcPr>
            <w:tcW w:type="dxa" w:w="1417"/>
          </w:tcPr>
          <w:p>
            <w:r>
              <w:t>5.12</w:t>
            </w:r>
          </w:p>
        </w:tc>
        <w:tc>
          <w:tcPr>
            <w:tcW w:type="dxa" w:w="1417"/>
          </w:tcPr>
          <w:p>
            <w:r>
              <w:t>5.27</w:t>
            </w:r>
          </w:p>
        </w:tc>
      </w:tr>
      <w:tr>
        <w:tc>
          <w:tcPr>
            <w:tcW w:type="dxa" w:w="2268"/>
          </w:tcPr>
          <w:p>
            <w:r>
              <w:t>BetaShares Hybrids</w:t>
            </w:r>
          </w:p>
        </w:tc>
        <w:tc>
          <w:tcPr>
            <w:tcW w:type="dxa" w:w="1417"/>
          </w:tcPr>
          <w:p>
            <w:r>
              <w:t>4.36</w:t>
            </w:r>
          </w:p>
        </w:tc>
        <w:tc>
          <w:tcPr>
            <w:tcW w:type="dxa" w:w="1417"/>
          </w:tcPr>
          <w:p>
            <w:r>
              <w:t>5.61</w:t>
            </w:r>
          </w:p>
        </w:tc>
      </w:tr>
      <w:tr>
        <w:tc>
          <w:tcPr>
            <w:tcW w:type="dxa" w:w="2268"/>
          </w:tcPr>
          <w:p>
            <w:r>
              <w:t>iShares Enh Cash</w:t>
            </w:r>
          </w:p>
        </w:tc>
        <w:tc>
          <w:tcPr>
            <w:tcW w:type="dxa" w:w="1417"/>
          </w:tcPr>
          <w:p>
            <w:r>
              <w:t>4.68</w:t>
            </w:r>
          </w:p>
        </w:tc>
        <w:tc>
          <w:tcPr>
            <w:tcW w:type="dxa" w:w="1417"/>
          </w:tcPr>
          <w:p>
            <w:r>
              <w:t>4.64</w:t>
            </w:r>
          </w:p>
        </w:tc>
      </w:tr>
      <w:tr>
        <w:tc>
          <w:tcPr>
            <w:tcW w:type="dxa" w:w="2268"/>
          </w:tcPr>
          <w:p>
            <w:r>
              <w:rPr>
                <w:b/>
              </w:rPr>
              <w:t>BM: Floating</w:t>
            </w:r>
          </w:p>
        </w:tc>
        <w:tc>
          <w:tcPr>
            <w:tcW w:type="dxa" w:w="1417"/>
          </w:tcPr>
          <w:p>
            <w:r>
              <w:rPr>
                <w:b/>
              </w:rPr>
              <w:t>5.12</w:t>
            </w:r>
          </w:p>
        </w:tc>
        <w:tc>
          <w:tcPr>
            <w:tcW w:type="dxa" w:w="1417"/>
          </w:tcPr>
          <w:p>
            <w:r>
              <w:rPr>
                <w:b/>
              </w:rPr>
              <w:t>5.24</w:t>
            </w:r>
          </w:p>
        </w:tc>
      </w:tr>
      <w:tr>
        <w:tc>
          <w:tcPr>
            <w:tcW w:type="dxa" w:w="2268"/>
          </w:tcPr>
          <w:p>
            <w:r>
              <w:t>iShares Cash</w:t>
            </w:r>
          </w:p>
        </w:tc>
        <w:tc>
          <w:tcPr>
            <w:tcW w:type="dxa" w:w="1417"/>
          </w:tcPr>
          <w:p>
            <w:r>
              <w:t>4.52</w:t>
            </w:r>
          </w:p>
        </w:tc>
        <w:tc>
          <w:tcPr>
            <w:tcW w:type="dxa" w:w="1417"/>
          </w:tcPr>
          <w:p>
            <w: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