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70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Atchison70ACTIVE</w:t>
            </w:r>
          </w:p>
        </w:tc>
        <w:tc>
          <w:tcPr>
            <w:tcW w:type="dxa" w:w="1644"/>
          </w:tcPr>
          <w:p>
            <w:r>
              <w:rPr>
                <w:b/>
              </w:rPr>
              <w:t>4.1</w:t>
            </w:r>
          </w:p>
        </w:tc>
        <w:tc>
          <w:tcPr>
            <w:tcW w:type="dxa" w:w="1644"/>
          </w:tcPr>
          <w:p>
            <w:r>
              <w:rPr>
                <w:b/>
              </w:rPr>
              <w:t>5.32</w:t>
            </w:r>
          </w:p>
        </w:tc>
        <w:tc>
          <w:tcPr>
            <w:tcW w:type="dxa" w:w="1644"/>
          </w:tcPr>
          <w:p>
            <w:r>
              <w:rPr>
                <w:b/>
              </w:rPr>
              <w:t>10.57</w:t>
            </w:r>
          </w:p>
        </w:tc>
        <w:tc>
          <w:tcPr>
            <w:tcW w:type="dxa" w:w="1644"/>
          </w:tcPr>
          <w:p>
            <w:r>
              <w:rPr>
                <w:b/>
              </w:rPr>
              <w:t>11.55</w:t>
            </w:r>
          </w:p>
        </w:tc>
        <w:tc>
          <w:tcPr>
            <w:tcW w:type="dxa" w:w="1644"/>
          </w:tcPr>
          <w:p>
            <w:r>
              <w:rPr>
                <w:b/>
              </w:rPr>
              <w:t>12.48</w:t>
            </w:r>
          </w:p>
        </w:tc>
      </w:tr>
      <w:tr>
        <w:tc>
          <w:tcPr>
            <w:tcW w:type="dxa" w:w="2551"/>
          </w:tcPr>
          <w:p>
            <w:r>
              <w:t>Peer Group</w:t>
            </w:r>
          </w:p>
        </w:tc>
        <w:tc>
          <w:tcPr>
            <w:tcW w:type="dxa" w:w="1644"/>
          </w:tcPr>
          <w:p>
            <w:r>
              <w:t>4.13</w:t>
            </w:r>
          </w:p>
        </w:tc>
        <w:tc>
          <w:tcPr>
            <w:tcW w:type="dxa" w:w="1644"/>
          </w:tcPr>
          <w:p>
            <w:r>
              <w:t>5.48</w:t>
            </w:r>
          </w:p>
        </w:tc>
        <w:tc>
          <w:tcPr>
            <w:tcW w:type="dxa" w:w="1644"/>
          </w:tcPr>
          <w:p>
            <w:r>
              <w:t>10.15</w:t>
            </w:r>
          </w:p>
        </w:tc>
        <w:tc>
          <w:tcPr>
            <w:tcW w:type="dxa" w:w="1644"/>
          </w:tcPr>
          <w:p>
            <w:r>
              <w:t>10.73</w:t>
            </w:r>
          </w:p>
        </w:tc>
        <w:tc>
          <w:tcPr>
            <w:tcW w:type="dxa" w:w="1644"/>
          </w:tcPr>
          <w:p>
            <w:r>
              <w:t>10.95</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-0.03</w:t>
            </w:r>
          </w:p>
        </w:tc>
        <w:tc>
          <w:tcPr>
            <w:tcW w:type="dxa" w:w="1644"/>
          </w:tcPr>
          <w:p>
            <w:r>
              <w:t>-0.16</w:t>
            </w:r>
          </w:p>
        </w:tc>
        <w:tc>
          <w:tcPr>
            <w:tcW w:type="dxa" w:w="1644"/>
          </w:tcPr>
          <w:p>
            <w:r>
              <w:t>0.43</w:t>
            </w:r>
          </w:p>
        </w:tc>
        <w:tc>
          <w:tcPr>
            <w:tcW w:type="dxa" w:w="1644"/>
          </w:tcPr>
          <w:p>
            <w:r>
              <w:t>0.82</w:t>
            </w:r>
          </w:p>
        </w:tc>
        <w:tc>
          <w:tcPr>
            <w:tcW w:type="dxa" w:w="1644"/>
          </w:tcPr>
          <w:p>
            <w:r>
              <w:t>1.53</w:t>
            </w:r>
          </w:p>
        </w:tc>
      </w:tr>
      <w:tr>
        <w:tc>
          <w:tcPr>
            <w:tcW w:type="dxa" w:w="2551"/>
          </w:tcPr>
          <w:p>
            <w:r>
              <w:t>Outperformance vs Inflation</w:t>
            </w:r>
          </w:p>
        </w:tc>
        <w:tc>
          <w:tcPr>
            <w:tcW w:type="dxa" w:w="1644"/>
          </w:tcPr>
          <w:p>
            <w:r>
              <w:t>4.48</w:t>
            </w:r>
          </w:p>
        </w:tc>
        <w:tc>
          <w:tcPr>
            <w:tcW w:type="dxa" w:w="1644"/>
          </w:tcPr>
          <w:p>
            <w:r>
              <w:t>4.58</w:t>
            </w:r>
          </w:p>
        </w:tc>
        <w:tc>
          <w:tcPr>
            <w:tcW w:type="dxa" w:w="1644"/>
          </w:tcPr>
          <w:p>
            <w:r>
              <w:t>8.67</w:t>
            </w:r>
          </w:p>
        </w:tc>
        <w:tc>
          <w:tcPr>
            <w:tcW w:type="dxa" w:w="1644"/>
          </w:tcPr>
          <w:p>
            <w:r>
              <w:t>9.27</w:t>
            </w:r>
          </w:p>
        </w:tc>
        <w:tc>
          <w:tcPr>
            <w:tcW w:type="dxa" w:w="1644"/>
          </w:tcPr>
          <w:p>
            <w:r>
              <w:t>10.07</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eight-year periods.</w:t>
      </w:r>
    </w:p>
    <w:p>
      <w:pPr>
        <w:pStyle w:val="Heading20"/>
      </w:pPr>
      <w:r>
        <w:t>Strategy Overview</w:t>
      </w:r>
    </w:p>
    <w:p>
      <w:pPr>
        <w:pStyle w:val="BodyStyle"/>
      </w:pPr>
      <w:r>
        <w:t xml:space="preserve">Atchison Active 70 Portfolio is a Separately Managed Account (SMA), which is an all-inclusive diversified, multi-asset, investment portfolio professionally managed for you (the client) on behalf of a financial advisor. This portfolio is made up of 70% growth assets, and 30% defensive assets and uses a combination of passive ETFs and active managers. Asset classes include Australian Shares, Global Shares, Alternatives, Floating Rate, Long Duration, Real Assets and Cash.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0.44%</w:t>
            </w:r>
          </w:p>
        </w:tc>
      </w:tr>
      <w:tr>
        <w:tc>
          <w:tcPr>
            <w:tcW w:type="dxa" w:w="2268"/>
          </w:tcPr>
          <w:p>
            <w:r>
              <w:t>Underlying Perf Fees</w:t>
            </w:r>
          </w:p>
        </w:tc>
        <w:tc>
          <w:tcPr>
            <w:tcW w:type="dxa" w:w="3118"/>
          </w:tcPr>
          <w:p>
            <w:r>
              <w:t>0.09%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BHP-AU</w:t>
            </w:r>
          </w:p>
        </w:tc>
        <w:tc>
          <w:tcPr>
            <w:tcW w:type="dxa" w:w="3685"/>
          </w:tcPr>
          <w:p>
            <w:r>
              <w:t>BHP Group Limited</w:t>
            </w:r>
          </w:p>
        </w:tc>
      </w:tr>
      <w:tr>
        <w:tc>
          <w:tcPr>
            <w:tcW w:type="dxa" w:w="1417"/>
          </w:tcPr>
          <w:p>
            <w:r>
              <w:t>NVDA.NAS</w:t>
            </w:r>
          </w:p>
        </w:tc>
        <w:tc>
          <w:tcPr>
            <w:tcW w:type="dxa" w:w="3685"/>
          </w:tcPr>
          <w:p>
            <w:r>
              <w:t>NVIDIA CORP</w:t>
            </w:r>
          </w:p>
        </w:tc>
      </w:tr>
      <w:tr>
        <w:tc>
          <w:tcPr>
            <w:tcW w:type="dxa" w:w="1417"/>
          </w:tcPr>
          <w:p>
            <w:r>
              <w:t>AMZN.NAS</w:t>
            </w:r>
          </w:p>
        </w:tc>
        <w:tc>
          <w:tcPr>
            <w:tcW w:type="dxa" w:w="3685"/>
          </w:tcPr>
          <w:p>
            <w:r>
              <w:t>AMAZON COM INC</w:t>
            </w:r>
          </w:p>
        </w:tc>
      </w:tr>
      <w:tr>
        <w:tc>
          <w:tcPr>
            <w:tcW w:type="dxa" w:w="1417"/>
          </w:tcPr>
          <w:p>
            <w:r>
              <w:t>META.NAS</w:t>
            </w:r>
          </w:p>
        </w:tc>
        <w:tc>
          <w:tcPr>
            <w:tcW w:type="dxa" w:w="3685"/>
          </w:tcPr>
          <w:p>
            <w:r>
              <w:t>META PLATFORMS INC CLASS A</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LLY.NYS</w:t>
            </w:r>
          </w:p>
        </w:tc>
        <w:tc>
          <w:tcPr>
            <w:tcW w:type="dxa" w:w="3685"/>
          </w:tcPr>
          <w:p>
            <w:r>
              <w:t>ELI LILLY</w:t>
            </w:r>
          </w:p>
        </w:tc>
      </w:tr>
      <w:tr>
        <w:tc>
          <w:tcPr>
            <w:tcW w:type="dxa" w:w="1417"/>
          </w:tcPr>
          <w:p>
            <w:r>
              <w:t>GOOG.NAS</w:t>
            </w:r>
          </w:p>
        </w:tc>
        <w:tc>
          <w:tcPr>
            <w:tcW w:type="dxa" w:w="3685"/>
          </w:tcPr>
          <w:p>
            <w:r>
              <w:t>ALPHABET INC CLASS C</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14.89</w:t>
            </w:r>
          </w:p>
        </w:tc>
        <w:tc>
          <w:tcPr>
            <w:tcW w:type="dxa" w:w="1559"/>
          </w:tcPr>
          <w:p>
            <w:r>
              <w:t>13.93</w:t>
            </w:r>
          </w:p>
        </w:tc>
      </w:tr>
      <w:tr>
        <w:tc>
          <w:tcPr>
            <w:tcW w:type="dxa" w:w="1984"/>
          </w:tcPr>
          <w:p>
            <w:r>
              <w:t>International Shares</w:t>
            </w:r>
          </w:p>
        </w:tc>
        <w:tc>
          <w:tcPr>
            <w:tcW w:type="dxa" w:w="1559"/>
          </w:tcPr>
          <w:p>
            <w:r>
              <w:t>13.33</w:t>
            </w:r>
          </w:p>
        </w:tc>
        <w:tc>
          <w:tcPr>
            <w:tcW w:type="dxa" w:w="1559"/>
          </w:tcPr>
          <w:p>
            <w:r>
              <w:t>16.43</w:t>
            </w:r>
          </w:p>
        </w:tc>
      </w:tr>
      <w:tr>
        <w:tc>
          <w:tcPr>
            <w:tcW w:type="dxa" w:w="1984"/>
          </w:tcPr>
          <w:p>
            <w:r>
              <w:t>Real Assets</w:t>
            </w:r>
          </w:p>
        </w:tc>
        <w:tc>
          <w:tcPr>
            <w:tcW w:type="dxa" w:w="1559"/>
          </w:tcPr>
          <w:p>
            <w:r>
              <w:t>6.75</w:t>
            </w:r>
          </w:p>
        </w:tc>
        <w:tc>
          <w:tcPr>
            <w:tcW w:type="dxa" w:w="1559"/>
          </w:tcPr>
          <w:p>
            <w:r>
              <w:t>9.88</w:t>
            </w:r>
          </w:p>
        </w:tc>
      </w:tr>
      <w:tr>
        <w:tc>
          <w:tcPr>
            <w:tcW w:type="dxa" w:w="1984"/>
          </w:tcPr>
          <w:p>
            <w:r>
              <w:t>Alternatives</w:t>
            </w:r>
          </w:p>
        </w:tc>
        <w:tc>
          <w:tcPr>
            <w:tcW w:type="dxa" w:w="1559"/>
          </w:tcPr>
          <w:p>
            <w:r>
              <w:t>10.44</w:t>
            </w:r>
          </w:p>
        </w:tc>
        <w:tc>
          <w:tcPr>
            <w:tcW w:type="dxa" w:w="1559"/>
          </w:tcPr>
          <w:p>
            <w:r>
              <w:t>9.77</w:t>
            </w:r>
          </w:p>
        </w:tc>
      </w:tr>
      <w:tr>
        <w:tc>
          <w:tcPr>
            <w:tcW w:type="dxa" w:w="1984"/>
          </w:tcPr>
          <w:p>
            <w:r>
              <w:t>Long Duration</w:t>
            </w:r>
          </w:p>
        </w:tc>
        <w:tc>
          <w:tcPr>
            <w:tcW w:type="dxa" w:w="1559"/>
          </w:tcPr>
          <w:p>
            <w:r>
              <w:t>3.42</w:t>
            </w:r>
          </w:p>
        </w:tc>
        <w:tc>
          <w:tcPr>
            <w:tcW w:type="dxa" w:w="1559"/>
          </w:tcPr>
          <w:p>
            <w:r>
              <w:t>4.28</w:t>
            </w:r>
          </w:p>
        </w:tc>
      </w:tr>
      <w:tr>
        <w:tc>
          <w:tcPr>
            <w:tcW w:type="dxa" w:w="1984"/>
          </w:tcPr>
          <w:p>
            <w:r>
              <w:t>Floating Rate</w:t>
            </w:r>
          </w:p>
        </w:tc>
        <w:tc>
          <w:tcPr>
            <w:tcW w:type="dxa" w:w="1559"/>
          </w:tcPr>
          <w:p>
            <w:r>
              <w:t>4.99</w:t>
            </w:r>
          </w:p>
        </w:tc>
        <w:tc>
          <w:tcPr>
            <w:tcW w:type="dxa" w:w="1559"/>
          </w:tcPr>
          <w:p>
            <w:r>
              <w:t>6.0</w:t>
            </w:r>
          </w:p>
        </w:tc>
      </w:tr>
      <w:tr>
        <w:tc>
          <w:tcPr>
            <w:tcW w:type="dxa" w:w="1984"/>
          </w:tcPr>
          <w:p>
            <w:r>
              <w:t>Cash</w:t>
            </w:r>
          </w:p>
        </w:tc>
        <w:tc>
          <w:tcPr>
            <w:tcW w:type="dxa" w:w="1559"/>
          </w:tcPr>
          <w:p>
            <w:r>
              <w:t>4.38</w:t>
            </w:r>
          </w:p>
        </w:tc>
        <w:tc>
          <w:tcPr>
            <w:tcW w:type="dxa" w:w="1559"/>
          </w:tcPr>
          <w:p>
            <w:r>
              <w:t>4.43</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t>Merlon Concentrated AusEq</w:t>
            </w:r>
          </w:p>
        </w:tc>
        <w:tc>
          <w:tcPr>
            <w:tcW w:type="dxa" w:w="1417"/>
          </w:tcPr>
          <w:p>
            <w:r>
              <w:t>13.17</w:t>
            </w:r>
          </w:p>
        </w:tc>
        <w:tc>
          <w:tcPr>
            <w:tcW w:type="dxa" w:w="1417"/>
          </w:tcPr>
          <w:p>
            <w:r>
              <w:t>12.46</w:t>
            </w:r>
          </w:p>
        </w:tc>
      </w:tr>
      <w:tr>
        <w:tc>
          <w:tcPr>
            <w:tcW w:type="dxa" w:w="2268"/>
          </w:tcPr>
          <w:p>
            <w:r>
              <w:t>Ausbil Aus Small</w:t>
            </w:r>
          </w:p>
        </w:tc>
        <w:tc>
          <w:tcPr>
            <w:tcW w:type="dxa" w:w="1417"/>
          </w:tcPr>
          <w:p>
            <w:r>
              <w:t>43.63</w:t>
            </w:r>
          </w:p>
        </w:tc>
        <w:tc>
          <w:tcPr>
            <w:tcW w:type="dxa" w:w="1417"/>
          </w:tcPr>
          <w:p>
            <w:r>
              <w:t>34.48</w:t>
            </w:r>
          </w:p>
        </w:tc>
      </w:tr>
      <w:tr>
        <w:tc>
          <w:tcPr>
            <w:tcW w:type="dxa" w:w="2268"/>
          </w:tcPr>
          <w:p>
            <w:r>
              <w:t>Invesco Aus Small</w:t>
            </w:r>
          </w:p>
        </w:tc>
        <w:tc>
          <w:tcPr>
            <w:tcW w:type="dxa" w:w="1417"/>
          </w:tcPr>
          <w:p>
            <w:r>
              <w:t>21.67</w:t>
            </w:r>
          </w:p>
        </w:tc>
        <w:tc>
          <w:tcPr>
            <w:tcW w:type="dxa" w:w="1417"/>
          </w:tcPr>
          <w:p>
            <w:r>
              <w:t>17.83</w:t>
            </w:r>
          </w:p>
        </w:tc>
      </w:tr>
      <w:tr>
        <w:tc>
          <w:tcPr>
            <w:tcW w:type="dxa" w:w="2268"/>
          </w:tcPr>
          <w:p>
            <w:r>
              <w:t>Greencape High Convic</w:t>
            </w:r>
          </w:p>
        </w:tc>
        <w:tc>
          <w:tcPr>
            <w:tcW w:type="dxa" w:w="1417"/>
          </w:tcPr>
          <w:p>
            <w:r>
              <w:t>6.37</w:t>
            </w:r>
          </w:p>
        </w:tc>
        <w:tc>
          <w:tcPr>
            <w:tcW w:type="dxa" w:w="1417"/>
          </w:tcPr>
          <w:p>
            <w:r>
              <w:t>11.2</w:t>
            </w:r>
          </w:p>
        </w:tc>
      </w:tr>
      <w:tr>
        <w:tc>
          <w:tcPr>
            <w:tcW w:type="dxa" w:w="2268"/>
          </w:tcPr>
          <w:p>
            <w:r>
              <w:t>Hyperion Aus Growth</w:t>
            </w:r>
          </w:p>
        </w:tc>
        <w:tc>
          <w:tcPr>
            <w:tcW w:type="dxa" w:w="1417"/>
          </w:tcPr>
          <w:p>
            <w:r>
              <w:t>8.04</w:t>
            </w:r>
          </w:p>
        </w:tc>
        <w:tc>
          <w:tcPr>
            <w:tcW w:type="dxa" w:w="1417"/>
          </w:tcPr>
          <w:p>
            <w:r>
              <w:t>16.81</w:t>
            </w:r>
          </w:p>
        </w:tc>
      </w:tr>
      <w:tr>
        <w:tc>
          <w:tcPr>
            <w:tcW w:type="dxa" w:w="2268"/>
          </w:tcPr>
          <w:p>
            <w:r>
              <w:t>Invesco WS Aus Share</w:t>
            </w:r>
          </w:p>
        </w:tc>
        <w:tc>
          <w:tcPr>
            <w:tcW w:type="dxa" w:w="1417"/>
          </w:tcPr>
          <w:p>
            <w:r>
              <w:t>15.28</w:t>
            </w:r>
          </w:p>
        </w:tc>
        <w:tc>
          <w:tcPr>
            <w:tcW w:type="dxa" w:w="1417"/>
          </w:tcPr>
          <w:p>
            <w:r>
              <w:t>15.95</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iShares US 500</w:t>
            </w:r>
          </w:p>
        </w:tc>
        <w:tc>
          <w:tcPr>
            <w:tcW w:type="dxa" w:w="1417"/>
          </w:tcPr>
          <w:p>
            <w:r>
              <w:t>21.92</w:t>
            </w:r>
          </w:p>
        </w:tc>
        <w:tc>
          <w:tcPr>
            <w:tcW w:type="dxa" w:w="1417"/>
          </w:tcPr>
          <w:p>
            <w:r>
              <w:t>20.73</w:t>
            </w:r>
          </w:p>
        </w:tc>
      </w:tr>
      <w:tr>
        <w:tc>
          <w:tcPr>
            <w:tcW w:type="dxa" w:w="2268"/>
          </w:tcPr>
          <w:p>
            <w:r>
              <w:t>iShares US 500 Hedged</w:t>
            </w:r>
          </w:p>
        </w:tc>
        <w:tc>
          <w:tcPr>
            <w:tcW w:type="dxa" w:w="1417"/>
          </w:tcPr>
          <w:p>
            <w:r>
              <w:t>16.14</w:t>
            </w:r>
          </w:p>
        </w:tc>
        <w:tc>
          <w:tcPr>
            <w:tcW w:type="dxa" w:w="1417"/>
          </w:tcPr>
          <w:p>
            <w:r>
              <w:t>19.59</w:t>
            </w:r>
          </w:p>
        </w:tc>
      </w:tr>
      <w:tr>
        <w:tc>
          <w:tcPr>
            <w:tcW w:type="dxa" w:w="2268"/>
          </w:tcPr>
          <w:p>
            <w:r>
              <w:t>VG Europe Eq</w:t>
            </w:r>
          </w:p>
        </w:tc>
        <w:tc>
          <w:tcPr>
            <w:tcW w:type="dxa" w:w="1417"/>
          </w:tcPr>
          <w:p>
            <w:r>
              <w:t>18.45</w:t>
            </w:r>
          </w:p>
        </w:tc>
        <w:tc>
          <w:tcPr>
            <w:tcW w:type="dxa" w:w="1417"/>
          </w:tcPr>
          <w:p>
            <w:r>
              <w:t>15.52</w:t>
            </w:r>
          </w:p>
        </w:tc>
      </w:tr>
      <w:tr>
        <w:tc>
          <w:tcPr>
            <w:tcW w:type="dxa" w:w="2268"/>
          </w:tcPr>
          <w:p>
            <w:r>
              <w:t>GQG Global Eq</w:t>
            </w:r>
          </w:p>
        </w:tc>
        <w:tc>
          <w:tcPr>
            <w:tcW w:type="dxa" w:w="1417"/>
          </w:tcPr>
          <w:p>
            <w:r>
              <w:t>-2.88</w:t>
            </w:r>
          </w:p>
        </w:tc>
        <w:tc>
          <w:tcPr>
            <w:tcW w:type="dxa" w:w="1417"/>
          </w:tcPr>
          <w:p>
            <w:r>
              <w:t>11.19</w:t>
            </w:r>
          </w:p>
        </w:tc>
      </w:tr>
      <w:tr>
        <w:tc>
          <w:tcPr>
            <w:tcW w:type="dxa" w:w="2268"/>
          </w:tcPr>
          <w:p>
            <w:r>
              <w:t>Man GLG Asia</w:t>
            </w:r>
          </w:p>
        </w:tc>
        <w:tc>
          <w:tcPr>
            <w:tcW w:type="dxa" w:w="1417"/>
          </w:tcPr>
          <w:p>
            <w:r>
              <w:t>26.79</w:t>
            </w:r>
          </w:p>
        </w:tc>
        <w:tc>
          <w:tcPr>
            <w:tcW w:type="dxa" w:w="1417"/>
          </w:tcPr>
          <w:p>
            <w:r>
              <w:t>18.43</w:t>
            </w:r>
          </w:p>
        </w:tc>
      </w:tr>
      <w:tr>
        <w:tc>
          <w:tcPr>
            <w:tcW w:type="dxa" w:w="2268"/>
          </w:tcPr>
          <w:p>
            <w:r>
              <w:t>Fairlight Glob Small Mid</w:t>
            </w:r>
          </w:p>
        </w:tc>
        <w:tc>
          <w:tcPr>
            <w:tcW w:type="dxa" w:w="1417"/>
          </w:tcPr>
          <w:p>
            <w:r>
              <w:t>8.02</w:t>
            </w:r>
          </w:p>
        </w:tc>
        <w:tc>
          <w:tcPr>
            <w:tcW w:type="dxa" w:w="1417"/>
          </w:tcPr>
          <w:p>
            <w:r>
              <w:t>10.47</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t>Alceon Aus Prop &amp; Infra</w:t>
            </w:r>
          </w:p>
        </w:tc>
        <w:tc>
          <w:tcPr>
            <w:tcW w:type="dxa" w:w="1417"/>
          </w:tcPr>
          <w:p>
            <w:r>
              <w:t>8.56</w:t>
            </w:r>
          </w:p>
        </w:tc>
        <w:tc>
          <w:tcPr>
            <w:tcW w:type="dxa" w:w="1417"/>
          </w:tcPr>
          <w:p>
            <w:r>
              <w:t>8.25</w:t>
            </w:r>
          </w:p>
        </w:tc>
      </w:tr>
      <w:tr>
        <w:tc>
          <w:tcPr>
            <w:tcW w:type="dxa" w:w="2268"/>
          </w:tcPr>
          <w:p>
            <w:r>
              <w:t>CB RARE Infra Income H</w:t>
            </w:r>
          </w:p>
        </w:tc>
        <w:tc>
          <w:tcPr>
            <w:tcW w:type="dxa" w:w="1417"/>
          </w:tcPr>
          <w:p>
            <w:r>
              <w:t>10.32</w:t>
            </w:r>
          </w:p>
        </w:tc>
        <w:tc>
          <w:tcPr>
            <w:tcW w:type="dxa" w:w="1417"/>
          </w:tcPr>
          <w:p>
            <w:r>
              <w:t>11.27</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VE Global Listed P Private ETF</w:t>
            </w:r>
          </w:p>
        </w:tc>
        <w:tc>
          <w:tcPr>
            <w:tcW w:type="dxa" w:w="1417"/>
          </w:tcPr>
          <w:p>
            <w:r>
              <w:t>19.99</w:t>
            </w:r>
          </w:p>
        </w:tc>
        <w:tc>
          <w:tcPr>
            <w:tcW w:type="dxa" w:w="1417"/>
          </w:tcPr>
          <w:p>
            <w:r>
              <w:t>23.92</w:t>
            </w:r>
          </w:p>
        </w:tc>
      </w:tr>
      <w:tr>
        <w:tc>
          <w:tcPr>
            <w:tcW w:type="dxa" w:w="2268"/>
          </w:tcPr>
          <w:p>
            <w:r>
              <w:t>Talaria GE</w:t>
            </w:r>
          </w:p>
        </w:tc>
        <w:tc>
          <w:tcPr>
            <w:tcW w:type="dxa" w:w="1417"/>
          </w:tcPr>
          <w:p>
            <w:r>
              <w:t>5.36</w:t>
            </w:r>
          </w:p>
        </w:tc>
        <w:tc>
          <w:tcPr>
            <w:tcW w:type="dxa" w:w="1417"/>
          </w:tcPr>
          <w:p>
            <w:r>
              <w:t>5.48</w:t>
            </w:r>
          </w:p>
        </w:tc>
      </w:tr>
      <w:tr>
        <w:tc>
          <w:tcPr>
            <w:tcW w:type="dxa" w:w="2268"/>
          </w:tcPr>
          <w:p>
            <w:r>
              <w:t>P/E FX Alpha</w:t>
            </w:r>
          </w:p>
        </w:tc>
        <w:tc>
          <w:tcPr>
            <w:tcW w:type="dxa" w:w="1417"/>
          </w:tcPr>
          <w:p>
            <w:r>
              <w:t>-0.77</w:t>
            </w:r>
          </w:p>
        </w:tc>
        <w:tc>
          <w:tcPr>
            <w:tcW w:type="dxa" w:w="1417"/>
          </w:tcPr>
          <w:p>
            <w:r>
              <w:t>-0.7</w:t>
            </w:r>
          </w:p>
        </w:tc>
      </w:tr>
      <w:tr>
        <w:tc>
          <w:tcPr>
            <w:tcW w:type="dxa" w:w="2268"/>
          </w:tcPr>
          <w:p>
            <w:r>
              <w:t>Invesco Senior Secured</w:t>
            </w:r>
          </w:p>
        </w:tc>
        <w:tc>
          <w:tcPr>
            <w:tcW w:type="dxa" w:w="1417"/>
          </w:tcPr>
          <w:p>
            <w:r>
              <w:t>5.15</w:t>
            </w:r>
          </w:p>
        </w:tc>
        <w:tc>
          <w:tcPr>
            <w:tcW w:type="dxa" w:w="1417"/>
          </w:tcPr>
          <w:p>
            <w:r>
              <w:t>5.99</w:t>
            </w:r>
          </w:p>
        </w:tc>
      </w:tr>
      <w:tr>
        <w:tc>
          <w:tcPr>
            <w:tcW w:type="dxa" w:w="2268"/>
          </w:tcPr>
          <w:p>
            <w:r>
              <w:t>Pyford Global Abs</w:t>
            </w:r>
          </w:p>
        </w:tc>
        <w:tc>
          <w:tcPr>
            <w:tcW w:type="dxa" w:w="1417"/>
          </w:tcPr>
          <w:p>
            <w:r>
              <w:t>8.48</w:t>
            </w:r>
          </w:p>
        </w:tc>
        <w:tc>
          <w:tcPr>
            <w:tcW w:type="dxa" w:w="1417"/>
          </w:tcPr>
          <w:p>
            <w:r>
              <w:t>8.31</w:t>
            </w:r>
          </w:p>
        </w:tc>
      </w:tr>
      <w:tr>
        <w:tc>
          <w:tcPr>
            <w:tcW w:type="dxa" w:w="2268"/>
          </w:tcPr>
          <w:p>
            <w:r>
              <w:t>iShares Physical Gold</w:t>
            </w:r>
          </w:p>
        </w:tc>
        <w:tc>
          <w:tcPr>
            <w:tcW w:type="dxa" w:w="1417"/>
          </w:tcPr>
          <w:p>
            <w:r>
              <w:t>40.92</w:t>
            </w:r>
          </w:p>
        </w:tc>
        <w:tc>
          <w:tcPr>
            <w:tcW w:type="dxa" w:w="1417"/>
          </w:tcPr>
          <w:p>
            <w:r>
              <w:t>28.72</w:t>
            </w:r>
          </w:p>
        </w:tc>
      </w:tr>
      <w:tr>
        <w:tc>
          <w:tcPr>
            <w:tcW w:type="dxa" w:w="2268"/>
          </w:tcPr>
          <w:p>
            <w:r>
              <w:t>Barwon LPE</w:t>
            </w:r>
          </w:p>
        </w:tc>
        <w:tc>
          <w:tcPr>
            <w:tcW w:type="dxa" w:w="1417"/>
          </w:tcPr>
          <w:p>
            <w:r>
              <w:t>6.33</w:t>
            </w:r>
          </w:p>
        </w:tc>
        <w:tc>
          <w:tcPr>
            <w:tcW w:type="dxa" w:w="1417"/>
          </w:tcPr>
          <w:p>
            <w:r>
              <w:t>15.85</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t>WA Aus Bond</w:t>
            </w:r>
          </w:p>
        </w:tc>
        <w:tc>
          <w:tcPr>
            <w:tcW w:type="dxa" w:w="1417"/>
          </w:tcPr>
          <w:p>
            <w:r>
              <w:t>4.44</w:t>
            </w:r>
          </w:p>
        </w:tc>
        <w:tc>
          <w:tcPr>
            <w:tcW w:type="dxa" w:w="1417"/>
          </w:tcPr>
          <w:p>
            <w:r>
              <w:t>5.13</w:t>
            </w:r>
          </w:p>
        </w:tc>
      </w:tr>
      <w:tr>
        <w:tc>
          <w:tcPr>
            <w:tcW w:type="dxa" w:w="2268"/>
          </w:tcPr>
          <w:p>
            <w:r>
              <w:t>Colchester Gov Bond</w:t>
            </w:r>
          </w:p>
        </w:tc>
        <w:tc>
          <w:tcPr>
            <w:tcW w:type="dxa" w:w="1417"/>
          </w:tcPr>
          <w:p>
            <w:r>
              <w:t>2.91</w:t>
            </w:r>
          </w:p>
        </w:tc>
        <w:tc>
          <w:tcPr>
            <w:tcW w:type="dxa" w:w="1417"/>
          </w:tcPr>
          <w:p>
            <w:r>
              <w:t>3.56</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iShares Enh Cash</w:t>
            </w:r>
          </w:p>
        </w:tc>
        <w:tc>
          <w:tcPr>
            <w:tcW w:type="dxa" w:w="1417"/>
          </w:tcPr>
          <w:p>
            <w:r>
              <w:t>4.46</w:t>
            </w:r>
          </w:p>
        </w:tc>
        <w:tc>
          <w:tcPr>
            <w:tcW w:type="dxa" w:w="1417"/>
          </w:tcPr>
          <w:p>
            <w:r>
              <w:t>4.53</w:t>
            </w:r>
          </w:p>
        </w:tc>
      </w:tr>
      <w:tr>
        <w:tc>
          <w:tcPr>
            <w:tcW w:type="dxa" w:w="2268"/>
          </w:tcPr>
          <w:p>
            <w:r>
              <w:t>Janus Div Credit</w:t>
            </w:r>
          </w:p>
        </w:tc>
        <w:tc>
          <w:tcPr>
            <w:tcW w:type="dxa" w:w="1417"/>
          </w:tcPr>
          <w:p>
            <w:r>
              <w:t>6.81</w:t>
            </w:r>
          </w:p>
        </w:tc>
        <w:tc>
          <w:tcPr>
            <w:tcW w:type="dxa" w:w="1417"/>
          </w:tcPr>
          <w:p>
            <w:r>
              <w:t>7.04</w:t>
            </w:r>
          </w:p>
        </w:tc>
      </w:tr>
      <w:tr>
        <w:tc>
          <w:tcPr>
            <w:tcW w:type="dxa" w:w="2268"/>
          </w:tcPr>
          <w:p>
            <w:r>
              <w:t>Daintree Core Inc</w:t>
            </w:r>
          </w:p>
        </w:tc>
        <w:tc>
          <w:tcPr>
            <w:tcW w:type="dxa" w:w="1417"/>
          </w:tcPr>
          <w:p>
            <w:r>
              <w:t>6.07</w:t>
            </w:r>
          </w:p>
        </w:tc>
        <w:tc>
          <w:tcPr>
            <w:tcW w:type="dxa" w:w="1417"/>
          </w:tcPr>
          <w:p>
            <w:r>
              <w:t>7.26</w:t>
            </w:r>
          </w:p>
        </w:tc>
      </w:tr>
      <w:tr>
        <w:tc>
          <w:tcPr>
            <w:tcW w:type="dxa" w:w="2268"/>
          </w:tcPr>
          <w:p>
            <w:r>
              <w:t>Bentham Global Inc</w:t>
            </w:r>
          </w:p>
        </w:tc>
        <w:tc>
          <w:tcPr>
            <w:tcW w:type="dxa" w:w="1417"/>
          </w:tcPr>
          <w:p>
            <w:r>
              <w:t>2.74</w:t>
            </w:r>
          </w:p>
        </w:tc>
        <w:tc>
          <w:tcPr>
            <w:tcW w:type="dxa" w:w="1417"/>
          </w:tcPr>
          <w:p>
            <w:r>
              <w:t>6.79</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