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Green"/>
        <w:tabs>
          <w:tab w:pos="10772" w:val="right"/>
        </w:tabs>
      </w:pPr>
      <w:r>
        <w:t>Atchison Dynamic ETF 70 SMA</w:t>
      </w:r>
      <w:r>
        <w:tab/>
      </w:r>
      <w:r>
        <w:t>31 January 2025</w:t>
      </w:r>
    </w:p>
    <w:p>
      <w:pPr>
        <w:pStyle w:val="BodyStyle"/>
      </w:pP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Atchison70ETF</w:t>
            </w:r>
          </w:p>
        </w:tc>
        <w:tc>
          <w:tcPr>
            <w:tcW w:type="dxa" w:w="1644"/>
          </w:tcPr>
          <w:p>
            <w:r>
              <w:rPr>
                <w:b/>
              </w:rPr>
              <w:t>4.66</w:t>
            </w:r>
          </w:p>
        </w:tc>
        <w:tc>
          <w:tcPr>
            <w:tcW w:type="dxa" w:w="1644"/>
          </w:tcPr>
          <w:p>
            <w:r>
              <w:rPr>
                <w:b/>
              </w:rPr>
              <w:t>6.49</w:t>
            </w:r>
          </w:p>
        </w:tc>
        <w:tc>
          <w:tcPr>
            <w:tcW w:type="dxa" w:w="1644"/>
          </w:tcPr>
          <w:p>
            <w:r>
              <w:rPr>
                <w:b/>
              </w:rPr>
              <w:t>14.96</w:t>
            </w:r>
          </w:p>
        </w:tc>
        <w:tc>
          <w:tcPr>
            <w:tcW w:type="dxa" w:w="1644"/>
          </w:tcPr>
          <w:p>
            <w:r>
              <w:rPr>
                <w:b/>
              </w:rPr>
              <w:t>11.98</w:t>
            </w:r>
          </w:p>
        </w:tc>
        <w:tc>
          <w:tcPr>
            <w:tcW w:type="dxa" w:w="1644"/>
          </w:tcPr>
          <w:p>
            <w:r>
              <w:rPr>
                <w:b/>
              </w:rPr>
              <w:t>13.58</w:t>
            </w:r>
          </w:p>
        </w:tc>
      </w:tr>
      <w:tr>
        <w:tc>
          <w:tcPr>
            <w:tcW w:type="dxa" w:w="2551"/>
          </w:tcPr>
          <w:p>
            <w:r>
              <w:t>Peer Group</w:t>
            </w:r>
          </w:p>
        </w:tc>
        <w:tc>
          <w:tcPr>
            <w:tcW w:type="dxa" w:w="1644"/>
          </w:tcPr>
          <w:p>
            <w:r>
              <w:t>3.9</w:t>
            </w:r>
          </w:p>
        </w:tc>
        <w:tc>
          <w:tcPr>
            <w:tcW w:type="dxa" w:w="1644"/>
          </w:tcPr>
          <w:p>
            <w:r>
              <w:t>5.62</w:t>
            </w:r>
          </w:p>
        </w:tc>
        <w:tc>
          <w:tcPr>
            <w:tcW w:type="dxa" w:w="1644"/>
          </w:tcPr>
          <w:p>
            <w:r>
              <w:t>12.86</w:t>
            </w:r>
          </w:p>
        </w:tc>
        <w:tc>
          <w:tcPr>
            <w:tcW w:type="dxa" w:w="1644"/>
          </w:tcPr>
          <w:p>
            <w:r>
              <w:t>10.27</w:t>
            </w:r>
          </w:p>
        </w:tc>
        <w:tc>
          <w:tcPr>
            <w:tcW w:type="dxa" w:w="1644"/>
          </w:tcPr>
          <w:p>
            <w:r>
              <w:t>11.8</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3.38</w:t>
            </w:r>
          </w:p>
        </w:tc>
      </w:tr>
      <w:tr>
        <w:tc>
          <w:tcPr>
            <w:tcW w:type="dxa" w:w="2551"/>
          </w:tcPr>
          <w:p>
            <w:r>
              <w:t>Outperformance vs Peers</w:t>
            </w:r>
          </w:p>
        </w:tc>
        <w:tc>
          <w:tcPr>
            <w:tcW w:type="dxa" w:w="1644"/>
          </w:tcPr>
          <w:p>
            <w:r>
              <w:t>0.75</w:t>
            </w:r>
          </w:p>
        </w:tc>
        <w:tc>
          <w:tcPr>
            <w:tcW w:type="dxa" w:w="1644"/>
          </w:tcPr>
          <w:p>
            <w:r>
              <w:t>0.87</w:t>
            </w:r>
          </w:p>
        </w:tc>
        <w:tc>
          <w:tcPr>
            <w:tcW w:type="dxa" w:w="1644"/>
          </w:tcPr>
          <w:p>
            <w:r>
              <w:t>2.1</w:t>
            </w:r>
          </w:p>
        </w:tc>
        <w:tc>
          <w:tcPr>
            <w:tcW w:type="dxa" w:w="1644"/>
          </w:tcPr>
          <w:p>
            <w:r>
              <w:t>1.72</w:t>
            </w:r>
          </w:p>
        </w:tc>
        <w:tc>
          <w:tcPr>
            <w:tcW w:type="dxa" w:w="1644"/>
          </w:tcPr>
          <w:p>
            <w:r>
              <w:t>1.78</w:t>
            </w:r>
          </w:p>
        </w:tc>
      </w:tr>
      <w:tr>
        <w:tc>
          <w:tcPr>
            <w:tcW w:type="dxa" w:w="2551"/>
          </w:tcPr>
          <w:p>
            <w:r>
              <w:t>Outperformance vs Inflation</w:t>
            </w:r>
          </w:p>
        </w:tc>
        <w:tc>
          <w:tcPr>
            <w:tcW w:type="dxa" w:w="1644"/>
          </w:tcPr>
          <w:p>
            <w:r>
              <w:t>4.66</w:t>
            </w:r>
          </w:p>
        </w:tc>
        <w:tc>
          <w:tcPr>
            <w:tcW w:type="dxa" w:w="1644"/>
          </w:tcPr>
          <w:p>
            <w:r>
              <w:t>5.94</w:t>
            </w:r>
          </w:p>
        </w:tc>
        <w:tc>
          <w:tcPr>
            <w:tcW w:type="dxa" w:w="1644"/>
          </w:tcPr>
          <w:p>
            <w:r>
              <w:t>12.19</w:t>
            </w:r>
          </w:p>
        </w:tc>
        <w:tc>
          <w:tcPr>
            <w:tcW w:type="dxa" w:w="1644"/>
          </w:tcPr>
          <w:p>
            <w:r>
              <w:t>8.55</w:t>
            </w:r>
          </w:p>
        </w:tc>
        <w:tc>
          <w:tcPr>
            <w:tcW w:type="dxa" w:w="1644"/>
          </w:tcPr>
          <w:p>
            <w:r>
              <w:t>10.2</w:t>
            </w:r>
          </w:p>
        </w:tc>
      </w:tr>
    </w:tbl>
    <w:p>
      <w:pPr>
        <w:pStyle w:val="Note"/>
      </w:pPr>
      <w:r>
        <w:t>Inception Date: 31 December 2022</w:t>
      </w:r>
    </w:p>
    <w:p>
      <w:pPr>
        <w:pStyle w:val="BodyStyle"/>
      </w:pPr>
    </w:p>
    <w:p>
      <w:pPr>
        <w:sectPr>
          <w:headerReference w:type="default" r:id="rId11"/>
          <w:footerReference w:type="default" r:id="rId12"/>
          <w:headerReference w:type="first" r:id="rId13"/>
          <w:footerReference w:type="first" r:id="rId14"/>
          <w:type w:val="continuous"/>
          <w:pgSz w:w="11900" w:h="16840" w:code="9"/>
          <w:pgMar w:top="0" w:right="420" w:bottom="0" w:left="425" w:header="0" w:footer="868" w:gutter="0"/>
          <w:cols w:space="284"/>
          <w:docGrid w:linePitch="360"/>
        </w:sectPr>
      </w:pPr>
    </w:p>
    <w:p>
      <w:pPr>
        <w:pStyle w:val="Heading2-Green"/>
      </w:pPr>
      <w:r>
        <w:t>Investment Objective</w:t>
      </w:r>
    </w:p>
    <w:p>
      <w:pPr>
        <w:pStyle w:val="BodyStyle"/>
      </w:pPr>
      <w:r>
        <w:t>Outperform the FE AMI Mixed Asset – Growth Peer Index, after fees, over rolling five-year periods.</w:t>
      </w:r>
    </w:p>
    <w:p>
      <w:pPr>
        <w:pStyle w:val="Heading2-Green"/>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7"/>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18"/>
                    <a:stretch>
                      <a:fillRect/>
                    </a:stretch>
                  </pic:blipFill>
                  <pic:spPr>
                    <a:xfrm>
                      <a:off x="0" y="0"/>
                      <a:ext cx="3240000" cy="1620000"/>
                    </a:xfrm>
                    <a:prstGeom prst="rect"/>
                  </pic:spPr>
                </pic:pic>
              </a:graphicData>
            </a:graphic>
          </wp:inline>
        </w:drawing>
      </w:r>
    </w:p>
    <w:p>
      <w:pPr>
        <w:pStyle w:val="Heading2-Green"/>
      </w:pPr>
      <w:r>
        <w:t>Asset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19"/>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14.16</w:t>
            </w:r>
          </w:p>
        </w:tc>
        <w:tc>
          <w:tcPr>
            <w:tcW w:type="dxa" w:w="1039"/>
          </w:tcPr>
          <w:p>
            <w:r>
              <w:t>10.14</w:t>
            </w:r>
          </w:p>
        </w:tc>
        <w:tc>
          <w:tcPr>
            <w:tcW w:type="dxa" w:w="1039"/>
          </w:tcPr>
          <w:p>
            <w:r>
              <w:t>12.89</w:t>
            </w:r>
          </w:p>
        </w:tc>
      </w:tr>
      <w:tr>
        <w:tc>
          <w:tcPr>
            <w:tcW w:type="dxa" w:w="1984"/>
          </w:tcPr>
          <w:p>
            <w:r>
              <w:t>International Shares</w:t>
            </w:r>
          </w:p>
        </w:tc>
        <w:tc>
          <w:tcPr>
            <w:tcW w:type="dxa" w:w="1039"/>
          </w:tcPr>
          <w:p>
            <w:r>
              <w:t>23.47</w:t>
            </w:r>
          </w:p>
        </w:tc>
        <w:tc>
          <w:tcPr>
            <w:tcW w:type="dxa" w:w="1039"/>
          </w:tcPr>
          <w:p>
            <w:r>
              <w:t>20.33</w:t>
            </w:r>
          </w:p>
        </w:tc>
        <w:tc>
          <w:tcPr>
            <w:tcW w:type="dxa" w:w="1039"/>
          </w:tcPr>
          <w:p>
            <w:r>
              <w:t>21.63</w:t>
            </w:r>
          </w:p>
        </w:tc>
      </w:tr>
      <w:tr>
        <w:tc>
          <w:tcPr>
            <w:tcW w:type="dxa" w:w="1984"/>
          </w:tcPr>
          <w:p>
            <w:r>
              <w:t>Real Assets</w:t>
            </w:r>
          </w:p>
        </w:tc>
        <w:tc>
          <w:tcPr>
            <w:tcW w:type="dxa" w:w="1039"/>
          </w:tcPr>
          <w:p>
            <w:r>
              <w:t>15.75</w:t>
            </w:r>
          </w:p>
        </w:tc>
        <w:tc>
          <w:tcPr>
            <w:tcW w:type="dxa" w:w="1039"/>
          </w:tcPr>
          <w:p>
            <w:r>
              <w:t>9.09</w:t>
            </w:r>
          </w:p>
        </w:tc>
        <w:tc>
          <w:tcPr>
            <w:tcW w:type="dxa" w:w="1039"/>
          </w:tcPr>
          <w:p>
            <w:r>
              <w:t>11.13</w:t>
            </w:r>
          </w:p>
        </w:tc>
      </w:tr>
      <w:tr>
        <w:tc>
          <w:tcPr>
            <w:tcW w:type="dxa" w:w="1984"/>
          </w:tcPr>
          <w:p>
            <w:r>
              <w:t>Alternatives</w:t>
            </w:r>
          </w:p>
        </w:tc>
        <w:tc>
          <w:tcPr>
            <w:tcW w:type="dxa" w:w="1039"/>
          </w:tcPr>
          <w:p>
            <w:r>
              <w:t>0.0</w:t>
            </w:r>
          </w:p>
        </w:tc>
        <w:tc>
          <w:tcPr>
            <w:tcW w:type="dxa" w:w="1039"/>
          </w:tcPr>
          <w:p>
            <w:r>
              <w:t>0.0</w:t>
            </w:r>
          </w:p>
        </w:tc>
        <w:tc>
          <w:tcPr>
            <w:tcW w:type="dxa" w:w="1039"/>
          </w:tcPr>
          <w:p>
            <w:r>
              <w:t>0.0</w:t>
            </w:r>
          </w:p>
        </w:tc>
      </w:tr>
      <w:tr>
        <w:tc>
          <w:tcPr>
            <w:tcW w:type="dxa" w:w="1984"/>
          </w:tcPr>
          <w:p>
            <w:r>
              <w:t>Long Duration</w:t>
            </w:r>
          </w:p>
        </w:tc>
        <w:tc>
          <w:tcPr>
            <w:tcW w:type="dxa" w:w="1039"/>
          </w:tcPr>
          <w:p>
            <w:r>
              <w:t>2.2</w:t>
            </w:r>
          </w:p>
        </w:tc>
        <w:tc>
          <w:tcPr>
            <w:tcW w:type="dxa" w:w="1039"/>
          </w:tcPr>
          <w:p>
            <w:r>
              <w:t>2.37</w:t>
            </w:r>
          </w:p>
        </w:tc>
        <w:tc>
          <w:tcPr>
            <w:tcW w:type="dxa" w:w="1039"/>
          </w:tcPr>
          <w:p>
            <w:r>
              <w:t>3.65</w:t>
            </w:r>
          </w:p>
        </w:tc>
      </w:tr>
      <w:tr>
        <w:tc>
          <w:tcPr>
            <w:tcW w:type="dxa" w:w="1984"/>
          </w:tcPr>
          <w:p>
            <w:r>
              <w:t>Floating Rate</w:t>
            </w:r>
          </w:p>
        </w:tc>
        <w:tc>
          <w:tcPr>
            <w:tcW w:type="dxa" w:w="1039"/>
          </w:tcPr>
          <w:p>
            <w:r>
              <w:t>5.59</w:t>
            </w:r>
          </w:p>
        </w:tc>
        <w:tc>
          <w:tcPr>
            <w:tcW w:type="dxa" w:w="1039"/>
          </w:tcPr>
          <w:p>
            <w:r>
              <w:t>4.9</w:t>
            </w:r>
          </w:p>
        </w:tc>
        <w:tc>
          <w:tcPr>
            <w:tcW w:type="dxa" w:w="1039"/>
          </w:tcPr>
          <w:p>
            <w:r>
              <w:t>4.82</w:t>
            </w:r>
          </w:p>
        </w:tc>
      </w:tr>
      <w:tr>
        <w:tc>
          <w:tcPr>
            <w:tcW w:type="dxa" w:w="1984"/>
          </w:tcPr>
          <w:p>
            <w:r>
              <w:t>Cash</w:t>
            </w:r>
          </w:p>
        </w:tc>
        <w:tc>
          <w:tcPr>
            <w:tcW w:type="dxa" w:w="1039"/>
          </w:tcPr>
          <w:p>
            <w:r>
              <w:t>4.57</w:t>
            </w:r>
          </w:p>
        </w:tc>
        <w:tc>
          <w:tcPr>
            <w:tcW w:type="dxa" w:w="1039"/>
          </w:tcPr>
          <w:p>
            <w:r>
              <w:t>4.31</w:t>
            </w:r>
          </w:p>
        </w:tc>
        <w:tc>
          <w:tcPr>
            <w:tcW w:type="dxa" w:w="1039"/>
          </w:tcPr>
          <w:p>
            <w:r>
              <w:t>4.29</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0"/>
                    <a:stretch>
                      <a:fillRect/>
                    </a:stretch>
                  </pic:blipFill>
                  <pic:spPr>
                    <a:xfrm>
                      <a:off x="0" y="0"/>
                      <a:ext cx="3240000" cy="3240000"/>
                    </a:xfrm>
                    <a:prstGeom prst="rect"/>
                  </pic:spPr>
                </pic:pic>
              </a:graphicData>
            </a:graphic>
          </wp:inline>
        </w:drawing>
      </w:r>
    </w:p>
    <w:p>
      <w:pPr>
        <w:pStyle w:val="Heading2-Green"/>
      </w:pPr>
      <w:r>
        <w:t>Correlations</w:t>
      </w:r>
    </w:p>
    <w:p>
      <w:r>
        <w:drawing>
          <wp:inline xmlns:a="http://schemas.openxmlformats.org/drawingml/2006/main" xmlns:pic="http://schemas.openxmlformats.org/drawingml/2006/picture">
            <wp:extent cx="3240000" cy="2314286"/>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1"/>
                    <a:stretch>
                      <a:fillRect/>
                    </a:stretch>
                  </pic:blipFill>
                  <pic:spPr>
                    <a:xfrm>
                      <a:off x="0" y="0"/>
                      <a:ext cx="3240000" cy="2314286"/>
                    </a:xfrm>
                    <a:prstGeom prst="rect"/>
                  </pic:spPr>
                </pic:pic>
              </a:graphicData>
            </a:graphic>
          </wp:inline>
        </w:drawing>
      </w:r>
    </w:p>
    <w:p>
      <w:pPr>
        <w:pStyle w:val="Heading2-Green"/>
      </w:pPr>
      <w:r>
        <w:t>1 Year Performance Heatmap</w:t>
      </w:r>
    </w:p>
    <w:p>
      <w:r>
        <w:drawing>
          <wp:inline xmlns:a="http://schemas.openxmlformats.org/drawingml/2006/main" xmlns:pic="http://schemas.openxmlformats.org/drawingml/2006/picture">
            <wp:extent cx="3240000" cy="3008571"/>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2"/>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WES-AU</w:t>
            </w:r>
          </w:p>
        </w:tc>
        <w:tc>
          <w:tcPr>
            <w:tcW w:type="dxa" w:w="3685"/>
          </w:tcPr>
          <w:p>
            <w:r>
              <w:t>Wesfarmers Limited</w:t>
            </w:r>
          </w:p>
        </w:tc>
      </w:tr>
      <w:tr>
        <w:tc>
          <w:tcPr>
            <w:tcW w:type="dxa" w:w="1417"/>
          </w:tcPr>
          <w:p>
            <w:r>
              <w:t>MSFT.NAS</w:t>
            </w:r>
          </w:p>
        </w:tc>
        <w:tc>
          <w:tcPr>
            <w:tcW w:type="dxa" w:w="3685"/>
          </w:tcPr>
          <w:p>
            <w:r>
              <w:t>MICROSOFT CORP</w:t>
            </w:r>
          </w:p>
        </w:tc>
      </w:tr>
    </w:tbl>
    <w:p>
      <w:pPr>
        <w:pStyle w:val="Heading2-Green"/>
      </w:pPr>
      <w:r>
        <w:t>Historical Allocation Changes</w:t>
      </w:r>
    </w:p>
    <w:p>
      <w:r>
        <w:drawing>
          <wp:inline xmlns:a="http://schemas.openxmlformats.org/drawingml/2006/main" xmlns:pic="http://schemas.openxmlformats.org/drawingml/2006/picture">
            <wp:extent cx="3240000" cy="2314286"/>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3"/>
                    <a:stretch>
                      <a:fillRect/>
                    </a:stretch>
                  </pic:blipFill>
                  <pic:spPr>
                    <a:xfrm>
                      <a:off x="0" y="0"/>
                      <a:ext cx="3240000" cy="2314286"/>
                    </a:xfrm>
                    <a:prstGeom prst="rect"/>
                  </pic:spPr>
                </pic:pic>
              </a:graphicData>
            </a:graphic>
          </wp:inline>
        </w:drawing>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1C33C8">
      <w:type w:val="continuous"/>
      <w:pgSz w:w="11900" w:h="16840" w:code="9"/>
      <w:pgMar w:top="0" w:right="420" w:bottom="0" w:left="425" w:header="0" w:footer="868"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F4C7" w14:textId="77777777" w:rsidR="008505BC" w:rsidRDefault="008505BC" w:rsidP="007B4373">
      <w:r>
        <w:separator/>
      </w:r>
    </w:p>
  </w:endnote>
  <w:endnote w:type="continuationSeparator" w:id="0">
    <w:p w14:paraId="7365B17C" w14:textId="77777777" w:rsidR="008505BC" w:rsidRDefault="008505B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03E4215B">
              <wp:simplePos x="0" y="0"/>
              <wp:positionH relativeFrom="margin">
                <wp:posOffset>0</wp:posOffset>
              </wp:positionH>
              <wp:positionV relativeFrom="page">
                <wp:posOffset>10105390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A36F31"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5.7pt" to="546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3E22" w14:textId="77777777" w:rsidR="008505BC" w:rsidRDefault="008505BC" w:rsidP="007B4373">
      <w:r>
        <w:separator/>
      </w:r>
    </w:p>
  </w:footnote>
  <w:footnote w:type="continuationSeparator" w:id="0">
    <w:p w14:paraId="37B72F41" w14:textId="77777777" w:rsidR="008505BC" w:rsidRDefault="008505B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827B8" w14:textId="77777777" w:rsidR="001C33C8" w:rsidRDefault="001C33C8"/>
  <w:p w14:paraId="1A2E350C" w14:textId="77777777" w:rsidR="001C33C8" w:rsidRDefault="001C33C8"/>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7EFCFB2" w14:textId="77777777" w:rsidR="001C33C8" w:rsidRDefault="001C33C8"/>
  <w:p w14:paraId="2DC183F1" w14:textId="77777777" w:rsidR="001C33C8" w:rsidRDefault="001C33C8"/>
  <w:p w14:paraId="35035C8C" w14:textId="7A0BD9EE" w:rsidR="00D67117" w:rsidRDefault="002F4B28">
    <w:r w:rsidRPr="005A6718">
      <w:rPr>
        <w:b/>
        <w:bCs/>
        <w:noProof/>
      </w:rPr>
      <w:drawing>
        <wp:anchor distT="0" distB="288290" distL="0" distR="0" simplePos="0" relativeHeight="251724288" behindDoc="1" locked="0" layoutInCell="1" allowOverlap="1" wp14:anchorId="46544061" wp14:editId="60B2751B">
          <wp:simplePos x="0" y="0"/>
          <wp:positionH relativeFrom="page">
            <wp:posOffset>19050</wp:posOffset>
          </wp:positionH>
          <wp:positionV relativeFrom="page">
            <wp:posOffset>-66675</wp:posOffset>
          </wp:positionV>
          <wp:extent cx="7560000" cy="1702800"/>
          <wp:effectExtent l="0" t="0" r="3175" b="0"/>
          <wp:wrapNone/>
          <wp:docPr id="166689795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209828039"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FF9"/>
    <w:rsid w:val="0059421B"/>
    <w:rsid w:val="00595E5D"/>
    <w:rsid w:val="005961BD"/>
    <w:rsid w:val="005968B1"/>
    <w:rsid w:val="005A0EF5"/>
    <w:rsid w:val="005A237C"/>
    <w:rsid w:val="005A26E3"/>
    <w:rsid w:val="005A45D0"/>
    <w:rsid w:val="005B0B31"/>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164</cp:revision>
  <cp:lastPrinted>2022-04-29T02:04:00Z</cp:lastPrinted>
  <dcterms:created xsi:type="dcterms:W3CDTF">2022-07-06T04:09:00Z</dcterms:created>
  <dcterms:modified xsi:type="dcterms:W3CDTF">2025-02-07T05:11:00Z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