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Atchison70ETF</w:t>
            </w:r>
          </w:p>
        </w:tc>
        <w:tc>
          <w:tcPr>
            <w:tcW w:type="dxa" w:w="1644"/>
          </w:tcPr>
          <w:p>
            <w:r>
              <w:rPr>
                <w:b/>
              </w:rPr>
              <w:t>5.47</w:t>
            </w:r>
          </w:p>
        </w:tc>
        <w:tc>
          <w:tcPr>
            <w:tcW w:type="dxa" w:w="1644"/>
          </w:tcPr>
          <w:p>
            <w:r>
              <w:rPr>
                <w:b/>
              </w:rPr>
              <w:t>5.91</w:t>
            </w:r>
          </w:p>
        </w:tc>
        <w:tc>
          <w:tcPr>
            <w:tcW w:type="dxa" w:w="1644"/>
          </w:tcPr>
          <w:p>
            <w:r>
              <w:rPr>
                <w:b/>
              </w:rPr>
              <w:t>13.64</w:t>
            </w:r>
          </w:p>
        </w:tc>
        <w:tc>
          <w:tcPr>
            <w:tcW w:type="dxa" w:w="1644"/>
          </w:tcPr>
          <w:p>
            <w:r>
              <w:rPr>
                <w:b/>
              </w:rPr>
              <w:t>12.92</w:t>
            </w:r>
          </w:p>
        </w:tc>
        <w:tc>
          <w:tcPr>
            <w:tcW w:type="dxa" w:w="1644"/>
          </w:tcPr>
          <w:p>
            <w:r>
              <w:rPr>
                <w:b/>
              </w:rPr>
              <w:t>12.78</w:t>
            </w:r>
          </w:p>
        </w:tc>
      </w:tr>
      <w:tr>
        <w:tc>
          <w:tcPr>
            <w:tcW w:type="dxa" w:w="2551"/>
          </w:tcPr>
          <w:p>
            <w:r>
              <w:t>Peer Group</w:t>
            </w:r>
          </w:p>
        </w:tc>
        <w:tc>
          <w:tcPr>
            <w:tcW w:type="dxa" w:w="1644"/>
          </w:tcPr>
          <w:p>
            <w:r>
              <w:t>4.99</w:t>
            </w:r>
          </w:p>
        </w:tc>
        <w:tc>
          <w:tcPr>
            <w:tcW w:type="dxa" w:w="1644"/>
          </w:tcPr>
          <w:p>
            <w:r>
              <w:t>3.95</w:t>
            </w:r>
          </w:p>
        </w:tc>
        <w:tc>
          <w:tcPr>
            <w:tcW w:type="dxa" w:w="1644"/>
          </w:tcPr>
          <w:p>
            <w:r>
              <w:t>10.28</w:t>
            </w:r>
          </w:p>
        </w:tc>
        <w:tc>
          <w:tcPr>
            <w:tcW w:type="dxa" w:w="1644"/>
          </w:tcPr>
          <w:p>
            <w:r>
              <w:t>10.13</w:t>
            </w:r>
          </w:p>
        </w:tc>
        <w:tc>
          <w:tcPr>
            <w:tcW w:type="dxa" w:w="1644"/>
          </w:tcPr>
          <w:p>
            <w:r>
              <w:t>10.52</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0.48</w:t>
            </w:r>
          </w:p>
        </w:tc>
        <w:tc>
          <w:tcPr>
            <w:tcW w:type="dxa" w:w="1644"/>
          </w:tcPr>
          <w:p>
            <w:r>
              <w:t>1.96</w:t>
            </w:r>
          </w:p>
        </w:tc>
        <w:tc>
          <w:tcPr>
            <w:tcW w:type="dxa" w:w="1644"/>
          </w:tcPr>
          <w:p>
            <w:r>
              <w:t>3.36</w:t>
            </w:r>
          </w:p>
        </w:tc>
        <w:tc>
          <w:tcPr>
            <w:tcW w:type="dxa" w:w="1644"/>
          </w:tcPr>
          <w:p>
            <w:r>
              <w:t>2.79</w:t>
            </w:r>
          </w:p>
        </w:tc>
        <w:tc>
          <w:tcPr>
            <w:tcW w:type="dxa" w:w="1644"/>
          </w:tcPr>
          <w:p>
            <w:r>
              <w:t>2.25</w:t>
            </w:r>
          </w:p>
        </w:tc>
      </w:tr>
      <w:tr>
        <w:tc>
          <w:tcPr>
            <w:tcW w:type="dxa" w:w="2551"/>
          </w:tcPr>
          <w:p>
            <w:r>
              <w:t>Outperformance vs Inflation</w:t>
            </w:r>
          </w:p>
        </w:tc>
        <w:tc>
          <w:tcPr>
            <w:tcW w:type="dxa" w:w="1644"/>
          </w:tcPr>
          <w:p>
            <w:r>
              <w:t>4.12</w:t>
            </w:r>
          </w:p>
        </w:tc>
        <w:tc>
          <w:tcPr>
            <w:tcW w:type="dxa" w:w="1644"/>
          </w:tcPr>
          <w:p>
            <w:r>
              <w:t>4.46</w:t>
            </w:r>
          </w:p>
        </w:tc>
        <w:tc>
          <w:tcPr>
            <w:tcW w:type="dxa" w:w="1644"/>
          </w:tcPr>
          <w:p>
            <w:r>
              <w:t>11.54</w:t>
            </w:r>
          </w:p>
        </w:tc>
        <w:tc>
          <w:tcPr>
            <w:tcW w:type="dxa" w:w="1644"/>
          </w:tcPr>
          <w:p>
            <w:r>
              <w:t>9.97</w:t>
            </w:r>
          </w:p>
        </w:tc>
        <w:tc>
          <w:tcPr>
            <w:tcW w:type="dxa" w:w="1644"/>
          </w:tcPr>
          <w:p>
            <w:r>
              <w:t>9.86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13.39</w:t>
            </w:r>
          </w:p>
        </w:tc>
        <w:tc>
          <w:tcPr>
            <w:tcW w:type="dxa" w:w="1559"/>
          </w:tcPr>
          <w:p>
            <w:r>
              <w:t>12.33</w:t>
            </w:r>
          </w:p>
        </w:tc>
      </w:tr>
      <w:tr>
        <w:tc>
          <w:tcPr>
            <w:tcW w:type="dxa" w:w="1984"/>
          </w:tcPr>
          <w:p>
            <w:r>
              <w:t>International Shares</w:t>
            </w:r>
          </w:p>
        </w:tc>
        <w:tc>
          <w:tcPr>
            <w:tcW w:type="dxa" w:w="1559"/>
          </w:tcPr>
          <w:p>
            <w:r>
              <w:t>15.31</w:t>
            </w:r>
          </w:p>
        </w:tc>
        <w:tc>
          <w:tcPr>
            <w:tcW w:type="dxa" w:w="1559"/>
          </w:tcPr>
          <w:p>
            <w:r>
              <w:t>17.33</w:t>
            </w:r>
          </w:p>
        </w:tc>
      </w:tr>
      <w:tr>
        <w:tc>
          <w:tcPr>
            <w:tcW w:type="dxa" w:w="1984"/>
          </w:tcPr>
          <w:p>
            <w:r>
              <w:t>Real Assets</w:t>
            </w:r>
          </w:p>
        </w:tc>
        <w:tc>
          <w:tcPr>
            <w:tcW w:type="dxa" w:w="1559"/>
          </w:tcPr>
          <w:p>
            <w:r>
              <w:t>11.31</w:t>
            </w:r>
          </w:p>
        </w:tc>
        <w:tc>
          <w:tcPr>
            <w:tcW w:type="dxa" w:w="1559"/>
          </w:tcPr>
          <w:p>
            <w:r>
              <w:t>11.34</w:t>
            </w:r>
          </w:p>
        </w:tc>
      </w:tr>
      <w:tr>
        <w:tc>
          <w:tcPr>
            <w:tcW w:type="dxa" w:w="1984"/>
          </w:tcPr>
          <w:p>
            <w:r>
              <w:t>Alternatives</w:t>
            </w:r>
          </w:p>
        </w:tc>
        <w:tc>
          <w:tcPr>
            <w:tcW w:type="dxa" w:w="1559"/>
          </w:tcPr>
          <w:p>
            <w:r>
              <w:t>38.06</w:t>
            </w:r>
          </w:p>
        </w:tc>
        <w:tc>
          <w:tcPr>
            <w:tcW w:type="dxa" w:w="1559"/>
          </w:tcPr>
          <w:p>
            <w:r>
              <w:t>17.47</w:t>
            </w:r>
          </w:p>
        </w:tc>
      </w:tr>
      <w:tr>
        <w:tc>
          <w:tcPr>
            <w:tcW w:type="dxa" w:w="1984"/>
          </w:tcPr>
          <w:p>
            <w:r>
              <w:t>Long Duration</w:t>
            </w:r>
          </w:p>
        </w:tc>
        <w:tc>
          <w:tcPr>
            <w:tcW w:type="dxa" w:w="1559"/>
          </w:tcPr>
          <w:p>
            <w:r>
              <w:t>5.3</w:t>
            </w:r>
          </w:p>
        </w:tc>
        <w:tc>
          <w:tcPr>
            <w:tcW w:type="dxa" w:w="1559"/>
          </w:tcPr>
          <w:p>
            <w:r>
              <w:t>4.13</w:t>
            </w:r>
          </w:p>
        </w:tc>
      </w:tr>
      <w:tr>
        <w:tc>
          <w:tcPr>
            <w:tcW w:type="dxa" w:w="1984"/>
          </w:tcPr>
          <w:p>
            <w:r>
              <w:t>Floating Rate</w:t>
            </w:r>
          </w:p>
        </w:tc>
        <w:tc>
          <w:tcPr>
            <w:tcW w:type="dxa" w:w="1559"/>
          </w:tcPr>
          <w:p>
            <w:r>
              <w:t>4.83</w:t>
            </w:r>
          </w:p>
        </w:tc>
        <w:tc>
          <w:tcPr>
            <w:tcW w:type="dxa" w:w="1559"/>
          </w:tcPr>
          <w:p>
            <w:r>
              <w:t>5.26</w:t>
            </w:r>
          </w:p>
        </w:tc>
      </w:tr>
      <w:tr>
        <w:tc>
          <w:tcPr>
            <w:tcW w:type="dxa" w:w="1984"/>
          </w:tcPr>
          <w:p>
            <w:r>
              <w:t>Cash</w:t>
            </w:r>
          </w:p>
        </w:tc>
        <w:tc>
          <w:tcPr>
            <w:tcW w:type="dxa" w:w="1559"/>
          </w:tcPr>
          <w:p>
            <w:r>
              <w:t>4.51</w:t>
            </w:r>
          </w:p>
        </w:tc>
        <w:tc>
          <w:tcPr>
            <w:tcW w:type="dxa" w:w="1559"/>
          </w:tcPr>
          <w:p>
            <w:r>
              <w:t>4.47</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 xml:space="preserve">VG MSCI World Hedged </w:t>
            </w:r>
          </w:p>
        </w:tc>
        <w:tc>
          <w:tcPr>
            <w:tcW w:type="dxa" w:w="1417"/>
          </w:tcPr>
          <w:p>
            <w:r>
              <w:t>12.68</w:t>
            </w:r>
          </w:p>
        </w:tc>
        <w:tc>
          <w:tcPr>
            <w:tcW w:type="dxa" w:w="1417"/>
          </w:tcPr>
          <w:p>
            <w:r>
              <w:t>17.25</w:t>
            </w:r>
          </w:p>
        </w:tc>
      </w:tr>
      <w:tr>
        <w:tc>
          <w:tcPr>
            <w:tcW w:type="dxa" w:w="2268"/>
          </w:tcPr>
          <w:p>
            <w:r>
              <w:t>iShares US 500</w:t>
            </w:r>
          </w:p>
        </w:tc>
        <w:tc>
          <w:tcPr>
            <w:tcW w:type="dxa" w:w="1417"/>
          </w:tcPr>
          <w:p>
            <w:r>
              <w:t>15.28</w:t>
            </w:r>
          </w:p>
        </w:tc>
        <w:tc>
          <w:tcPr>
            <w:tcW w:type="dxa" w:w="1417"/>
          </w:tcPr>
          <w:p>
            <w:r>
              <w:t>20.72</w:t>
            </w:r>
          </w:p>
        </w:tc>
      </w:tr>
      <w:tr>
        <w:tc>
          <w:tcPr>
            <w:tcW w:type="dxa" w:w="2268"/>
          </w:tcPr>
          <w:p>
            <w:r>
              <w:t>VG Europe Eq</w:t>
            </w:r>
          </w:p>
        </w:tc>
        <w:tc>
          <w:tcPr>
            <w:tcW w:type="dxa" w:w="1417"/>
          </w:tcPr>
          <w:p>
            <w:r>
              <w:t>20.29</w:t>
            </w:r>
          </w:p>
        </w:tc>
        <w:tc>
          <w:tcPr>
            <w:tcW w:type="dxa" w:w="1417"/>
          </w:tcPr>
          <w:p>
            <w:r>
              <w:t>16.57</w:t>
            </w:r>
          </w:p>
        </w:tc>
      </w:tr>
      <w:tr>
        <w:tc>
          <w:tcPr>
            <w:tcW w:type="dxa" w:w="2268"/>
          </w:tcPr>
          <w:p>
            <w:r>
              <w:t xml:space="preserve">iShares Japan </w:t>
            </w:r>
          </w:p>
        </w:tc>
        <w:tc>
          <w:tcPr>
            <w:tcW w:type="dxa" w:w="1417"/>
          </w:tcPr>
          <w:p>
            <w:r>
              <w:t>14.62</w:t>
            </w:r>
          </w:p>
        </w:tc>
        <w:tc>
          <w:tcPr>
            <w:tcW w:type="dxa" w:w="1417"/>
          </w:tcPr>
          <w:p>
            <w:r>
              <w:t>13.49</w:t>
            </w:r>
          </w:p>
        </w:tc>
      </w:tr>
      <w:tr>
        <w:tc>
          <w:tcPr>
            <w:tcW w:type="dxa" w:w="2268"/>
          </w:tcPr>
          <w:p>
            <w:r>
              <w:t>VG Asia ex Japan</w:t>
            </w:r>
          </w:p>
        </w:tc>
        <w:tc>
          <w:tcPr>
            <w:tcW w:type="dxa" w:w="1417"/>
          </w:tcPr>
          <w:p>
            <w:r>
              <w:t>18.15</w:t>
            </w:r>
          </w:p>
        </w:tc>
        <w:tc>
          <w:tcPr>
            <w:tcW w:type="dxa" w:w="1417"/>
          </w:tcPr>
          <w:p>
            <w:r>
              <w:t>15.39</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VG Global Infra</w:t>
            </w:r>
          </w:p>
        </w:tc>
        <w:tc>
          <w:tcPr>
            <w:tcW w:type="dxa" w:w="1417"/>
          </w:tcPr>
          <w:p>
            <w:r>
              <w:t>18.22</w:t>
            </w:r>
          </w:p>
        </w:tc>
        <w:tc>
          <w:tcPr>
            <w:tcW w:type="dxa" w:w="1417"/>
          </w:tcPr>
          <w:p>
            <w:r>
              <w:t>10.78</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VanEck FRN</w:t>
            </w:r>
          </w:p>
        </w:tc>
        <w:tc>
          <w:tcPr>
            <w:tcW w:type="dxa" w:w="1417"/>
          </w:tcPr>
          <w:p>
            <w:r>
              <w:t>5.12</w:t>
            </w:r>
          </w:p>
        </w:tc>
        <w:tc>
          <w:tcPr>
            <w:tcW w:type="dxa" w:w="1417"/>
          </w:tcPr>
          <w:p>
            <w:r>
              <w:t>5.27</w:t>
            </w:r>
          </w:p>
        </w:tc>
      </w:tr>
      <w:tr>
        <w:tc>
          <w:tcPr>
            <w:tcW w:type="dxa" w:w="2268"/>
          </w:tcPr>
          <w:p>
            <w:r>
              <w:t>BetaShares Hybrids</w:t>
            </w:r>
          </w:p>
        </w:tc>
        <w:tc>
          <w:tcPr>
            <w:tcW w:type="dxa" w:w="1417"/>
          </w:tcPr>
          <w:p>
            <w:r>
              <w:t>4.36</w:t>
            </w:r>
          </w:p>
        </w:tc>
        <w:tc>
          <w:tcPr>
            <w:tcW w:type="dxa" w:w="1417"/>
          </w:tcPr>
          <w:p>
            <w:r>
              <w:t>5.61</w:t>
            </w:r>
          </w:p>
        </w:tc>
      </w:tr>
      <w:tr>
        <w:tc>
          <w:tcPr>
            <w:tcW w:type="dxa" w:w="2268"/>
          </w:tcPr>
          <w:p>
            <w:r>
              <w:t>iShares Enh Cash</w:t>
            </w:r>
          </w:p>
        </w:tc>
        <w:tc>
          <w:tcPr>
            <w:tcW w:type="dxa" w:w="1417"/>
          </w:tcPr>
          <w:p>
            <w:r>
              <w:t>4.68</w:t>
            </w:r>
          </w:p>
        </w:tc>
        <w:tc>
          <w:tcPr>
            <w:tcW w:type="dxa" w:w="1417"/>
          </w:tcPr>
          <w:p>
            <w:r>
              <w:t>4.64</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