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85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Atchison85ETF</w:t>
            </w:r>
          </w:p>
        </w:tc>
        <w:tc>
          <w:tcPr>
            <w:tcW w:type="dxa" w:w="1644"/>
          </w:tcPr>
          <w:p>
            <w:r>
              <w:rPr>
                <w:b/>
              </w:rPr>
              <w:t>5.64</w:t>
            </w:r>
          </w:p>
        </w:tc>
        <w:tc>
          <w:tcPr>
            <w:tcW w:type="dxa" w:w="1644"/>
          </w:tcPr>
          <w:p>
            <w:r>
              <w:rPr>
                <w:b/>
              </w:rPr>
              <w:t>8.72</w:t>
            </w:r>
          </w:p>
        </w:tc>
        <w:tc>
          <w:tcPr>
            <w:tcW w:type="dxa" w:w="1644"/>
          </w:tcPr>
          <w:p>
            <w:r>
              <w:rPr>
                <w:b/>
              </w:rPr>
              <w:t>16.18</w:t>
            </w:r>
          </w:p>
        </w:tc>
        <w:tc>
          <w:tcPr>
            <w:tcW w:type="dxa" w:w="1644"/>
          </w:tcPr>
          <w:p>
            <w:r>
              <w:rPr>
                <w:b/>
              </w:rPr>
              <w:t>15.54</w:t>
            </w:r>
          </w:p>
        </w:tc>
        <w:tc>
          <w:tcPr>
            <w:tcW w:type="dxa" w:w="1644"/>
          </w:tcPr>
          <w:p>
            <w:r>
              <w:rPr>
                <w:b/>
              </w:rPr>
              <w:t>15.34</w:t>
            </w:r>
          </w:p>
        </w:tc>
      </w:tr>
      <w:tr>
        <w:tc>
          <w:tcPr>
            <w:tcW w:type="dxa" w:w="2551"/>
          </w:tcPr>
          <w:p>
            <w:r>
              <w:t>Peer Group</w:t>
            </w:r>
          </w:p>
        </w:tc>
        <w:tc>
          <w:tcPr>
            <w:tcW w:type="dxa" w:w="1644"/>
          </w:tcPr>
          <w:p>
            <w:r>
              <w:t>5.07</w:t>
            </w:r>
          </w:p>
        </w:tc>
        <w:tc>
          <w:tcPr>
            <w:tcW w:type="dxa" w:w="1644"/>
          </w:tcPr>
          <w:p>
            <w:r>
              <w:t>6.28</w:t>
            </w:r>
          </w:p>
        </w:tc>
        <w:tc>
          <w:tcPr>
            <w:tcW w:type="dxa" w:w="1644"/>
          </w:tcPr>
          <w:p>
            <w:r>
              <w:t>12.2</w:t>
            </w:r>
          </w:p>
        </w:tc>
        <w:tc>
          <w:tcPr>
            <w:tcW w:type="dxa" w:w="1644"/>
          </w:tcPr>
          <w:p>
            <w:r>
              <w:t>12.87</w:t>
            </w:r>
          </w:p>
        </w:tc>
        <w:tc>
          <w:tcPr>
            <w:tcW w:type="dxa" w:w="1644"/>
          </w:tcPr>
          <w:p>
            <w:r>
              <w:t>13.37</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0.57</w:t>
            </w:r>
          </w:p>
        </w:tc>
        <w:tc>
          <w:tcPr>
            <w:tcW w:type="dxa" w:w="1644"/>
          </w:tcPr>
          <w:p>
            <w:r>
              <w:t>2.45</w:t>
            </w:r>
          </w:p>
        </w:tc>
        <w:tc>
          <w:tcPr>
            <w:tcW w:type="dxa" w:w="1644"/>
          </w:tcPr>
          <w:p>
            <w:r>
              <w:t>3.98</w:t>
            </w:r>
          </w:p>
        </w:tc>
        <w:tc>
          <w:tcPr>
            <w:tcW w:type="dxa" w:w="1644"/>
          </w:tcPr>
          <w:p>
            <w:r>
              <w:t>2.67</w:t>
            </w:r>
          </w:p>
        </w:tc>
        <w:tc>
          <w:tcPr>
            <w:tcW w:type="dxa" w:w="1644"/>
          </w:tcPr>
          <w:p>
            <w:r>
              <w:t>1.97</w:t>
            </w:r>
          </w:p>
        </w:tc>
      </w:tr>
      <w:tr>
        <w:tc>
          <w:tcPr>
            <w:tcW w:type="dxa" w:w="2551"/>
          </w:tcPr>
          <w:p>
            <w:r>
              <w:t>Outperformance vs Inflation</w:t>
            </w:r>
          </w:p>
        </w:tc>
        <w:tc>
          <w:tcPr>
            <w:tcW w:type="dxa" w:w="1644"/>
          </w:tcPr>
          <w:p>
            <w:r>
              <w:t>6.02</w:t>
            </w:r>
          </w:p>
        </w:tc>
        <w:tc>
          <w:tcPr>
            <w:tcW w:type="dxa" w:w="1644"/>
          </w:tcPr>
          <w:p>
            <w:r>
              <w:t>7.98</w:t>
            </w:r>
          </w:p>
        </w:tc>
        <w:tc>
          <w:tcPr>
            <w:tcW w:type="dxa" w:w="1644"/>
          </w:tcPr>
          <w:p>
            <w:r>
              <w:t>14.28</w:t>
            </w:r>
          </w:p>
        </w:tc>
        <w:tc>
          <w:tcPr>
            <w:tcW w:type="dxa" w:w="1644"/>
          </w:tcPr>
          <w:p>
            <w:r>
              <w:t>13.26</w:t>
            </w:r>
          </w:p>
        </w:tc>
        <w:tc>
          <w:tcPr>
            <w:tcW w:type="dxa" w:w="1644"/>
          </w:tcPr>
          <w:p>
            <w:r>
              <w:t>12.92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85 Portfolio is a Separately Managed Account (SMA), which is an all-inclusive diversified, multi-asset, low-cost ETF investment portfolio professionally managed for you (the client) on behalf of a financial advisor. This portfolio is  85% growth assets, and 15%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Medium 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WBC-AU</w:t>
            </w:r>
          </w:p>
        </w:tc>
        <w:tc>
          <w:tcPr>
            <w:tcW w:type="dxa" w:w="3685"/>
          </w:tcPr>
          <w:p>
            <w:r>
              <w:t>Westpac Banking Corporation</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14.11</w:t>
            </w:r>
          </w:p>
        </w:tc>
        <w:tc>
          <w:tcPr>
            <w:tcW w:type="dxa" w:w="1559"/>
          </w:tcPr>
          <w:p>
            <w:r>
              <w:t>14.31</w:t>
            </w:r>
          </w:p>
        </w:tc>
      </w:tr>
      <w:tr>
        <w:tc>
          <w:tcPr>
            <w:tcW w:type="dxa" w:w="1984"/>
          </w:tcPr>
          <w:p>
            <w:r>
              <w:t>International Shares</w:t>
            </w:r>
          </w:p>
        </w:tc>
        <w:tc>
          <w:tcPr>
            <w:tcW w:type="dxa" w:w="1559"/>
          </w:tcPr>
          <w:p>
            <w:r>
              <w:t>19.37</w:t>
            </w:r>
          </w:p>
        </w:tc>
        <w:tc>
          <w:tcPr>
            <w:tcW w:type="dxa" w:w="1559"/>
          </w:tcPr>
          <w:p>
            <w:r>
              <w:t>17.85</w:t>
            </w:r>
          </w:p>
        </w:tc>
      </w:tr>
      <w:tr>
        <w:tc>
          <w:tcPr>
            <w:tcW w:type="dxa" w:w="1984"/>
          </w:tcPr>
          <w:p>
            <w:r>
              <w:t>Real Assets</w:t>
            </w:r>
          </w:p>
        </w:tc>
        <w:tc>
          <w:tcPr>
            <w:tcW w:type="dxa" w:w="1559"/>
          </w:tcPr>
          <w:p>
            <w:r>
              <w:t>7.99</w:t>
            </w:r>
          </w:p>
        </w:tc>
        <w:tc>
          <w:tcPr>
            <w:tcW w:type="dxa" w:w="1559"/>
          </w:tcPr>
          <w:p>
            <w:r>
              <w:t>12.51</w:t>
            </w:r>
          </w:p>
        </w:tc>
      </w:tr>
      <w:tr>
        <w:tc>
          <w:tcPr>
            <w:tcW w:type="dxa" w:w="1984"/>
          </w:tcPr>
          <w:p>
            <w:r>
              <w:t>Alternatives</w:t>
            </w:r>
          </w:p>
        </w:tc>
        <w:tc>
          <w:tcPr>
            <w:tcW w:type="dxa" w:w="1559"/>
          </w:tcPr>
          <w:p>
            <w:r>
              <w:t>37.3</w:t>
            </w:r>
          </w:p>
        </w:tc>
        <w:tc>
          <w:tcPr>
            <w:tcW w:type="dxa" w:w="1559"/>
          </w:tcPr>
          <w:p>
            <w:r>
              <w:t>19.6</w:t>
            </w:r>
          </w:p>
        </w:tc>
      </w:tr>
      <w:tr>
        <w:tc>
          <w:tcPr>
            <w:tcW w:type="dxa" w:w="1984"/>
          </w:tcPr>
          <w:p>
            <w:r>
              <w:t>Long Duration</w:t>
            </w:r>
          </w:p>
        </w:tc>
        <w:tc>
          <w:tcPr>
            <w:tcW w:type="dxa" w:w="1559"/>
          </w:tcPr>
          <w:p>
            <w:r>
              <w:t>2.89</w:t>
            </w:r>
          </w:p>
        </w:tc>
        <w:tc>
          <w:tcPr>
            <w:tcW w:type="dxa" w:w="1559"/>
          </w:tcPr>
          <w:p>
            <w:r>
              <w:t>4.06</w:t>
            </w:r>
          </w:p>
        </w:tc>
      </w:tr>
      <w:tr>
        <w:tc>
          <w:tcPr>
            <w:tcW w:type="dxa" w:w="1984"/>
          </w:tcPr>
          <w:p>
            <w:r>
              <w:t>Floating Rate</w:t>
            </w:r>
          </w:p>
        </w:tc>
        <w:tc>
          <w:tcPr>
            <w:tcW w:type="dxa" w:w="1559"/>
          </w:tcPr>
          <w:p>
            <w:r>
              <w:t>4.98</w:t>
            </w:r>
          </w:p>
        </w:tc>
        <w:tc>
          <w:tcPr>
            <w:tcW w:type="dxa" w:w="1559"/>
          </w:tcPr>
          <w:p>
            <w:r>
              <w:t>5.26</w:t>
            </w:r>
          </w:p>
        </w:tc>
      </w:tr>
      <w:tr>
        <w:tc>
          <w:tcPr>
            <w:tcW w:type="dxa" w:w="1984"/>
          </w:tcPr>
          <w:p>
            <w:r>
              <w:t>Cash</w:t>
            </w:r>
          </w:p>
        </w:tc>
        <w:tc>
          <w:tcPr>
            <w:tcW w:type="dxa" w:w="1559"/>
          </w:tcPr>
          <w:p>
            <w:r>
              <w:t>4.35</w:t>
            </w:r>
          </w:p>
        </w:tc>
        <w:tc>
          <w:tcPr>
            <w:tcW w:type="dxa" w:w="1559"/>
          </w:tcPr>
          <w:p>
            <w:r>
              <w:t>4.41</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 xml:space="preserve">VG MSCI World Hedged </w:t>
            </w:r>
          </w:p>
        </w:tc>
        <w:tc>
          <w:tcPr>
            <w:tcW w:type="dxa" w:w="1417"/>
          </w:tcPr>
          <w:p>
            <w:r>
              <w:t>15.98</w:t>
            </w:r>
          </w:p>
        </w:tc>
        <w:tc>
          <w:tcPr>
            <w:tcW w:type="dxa" w:w="1417"/>
          </w:tcPr>
          <w:p>
            <w:r>
              <w:t>18.82</w:t>
            </w:r>
          </w:p>
        </w:tc>
      </w:tr>
      <w:tr>
        <w:tc>
          <w:tcPr>
            <w:tcW w:type="dxa" w:w="2268"/>
          </w:tcPr>
          <w:p>
            <w:r>
              <w:t>iShares US 500</w:t>
            </w:r>
          </w:p>
        </w:tc>
        <w:tc>
          <w:tcPr>
            <w:tcW w:type="dxa" w:w="1417"/>
          </w:tcPr>
          <w:p>
            <w:r>
              <w:t>21.92</w:t>
            </w:r>
          </w:p>
        </w:tc>
        <w:tc>
          <w:tcPr>
            <w:tcW w:type="dxa" w:w="1417"/>
          </w:tcPr>
          <w:p>
            <w:r>
              <w:t>20.73</w:t>
            </w:r>
          </w:p>
        </w:tc>
      </w:tr>
      <w:tr>
        <w:tc>
          <w:tcPr>
            <w:tcW w:type="dxa" w:w="2268"/>
          </w:tcPr>
          <w:p>
            <w:r>
              <w:t>VG Europe Eq</w:t>
            </w:r>
          </w:p>
        </w:tc>
        <w:tc>
          <w:tcPr>
            <w:tcW w:type="dxa" w:w="1417"/>
          </w:tcPr>
          <w:p>
            <w:r>
              <w:t>18.45</w:t>
            </w:r>
          </w:p>
        </w:tc>
        <w:tc>
          <w:tcPr>
            <w:tcW w:type="dxa" w:w="1417"/>
          </w:tcPr>
          <w:p>
            <w:r>
              <w:t>15.52</w:t>
            </w:r>
          </w:p>
        </w:tc>
      </w:tr>
      <w:tr>
        <w:tc>
          <w:tcPr>
            <w:tcW w:type="dxa" w:w="2268"/>
          </w:tcPr>
          <w:p>
            <w:r>
              <w:t xml:space="preserve">iShares Japan </w:t>
            </w:r>
          </w:p>
        </w:tc>
        <w:tc>
          <w:tcPr>
            <w:tcW w:type="dxa" w:w="1417"/>
          </w:tcPr>
          <w:p>
            <w:r>
              <w:t>16.11</w:t>
            </w:r>
          </w:p>
        </w:tc>
        <w:tc>
          <w:tcPr>
            <w:tcW w:type="dxa" w:w="1417"/>
          </w:tcPr>
          <w:p>
            <w:r>
              <w:t>15.15</w:t>
            </w:r>
          </w:p>
        </w:tc>
      </w:tr>
      <w:tr>
        <w:tc>
          <w:tcPr>
            <w:tcW w:type="dxa" w:w="2268"/>
          </w:tcPr>
          <w:p>
            <w:r>
              <w:t>VG Asia ex Japan</w:t>
            </w:r>
          </w:p>
        </w:tc>
        <w:tc>
          <w:tcPr>
            <w:tcW w:type="dxa" w:w="1417"/>
          </w:tcPr>
          <w:p>
            <w:r>
              <w:t>23.91</w:t>
            </w:r>
          </w:p>
        </w:tc>
        <w:tc>
          <w:tcPr>
            <w:tcW w:type="dxa" w:w="1417"/>
          </w:tcPr>
          <w:p>
            <w:r>
              <w:t>16.49</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VG Global Infra</w:t>
            </w:r>
          </w:p>
        </w:tc>
        <w:tc>
          <w:tcPr>
            <w:tcW w:type="dxa" w:w="1417"/>
          </w:tcPr>
          <w:p>
            <w:r>
              <w:t>11.49</w:t>
            </w:r>
          </w:p>
        </w:tc>
        <w:tc>
          <w:tcPr>
            <w:tcW w:type="dxa" w:w="1417"/>
          </w:tcPr>
          <w:p>
            <w:r>
              <w:t>11.7</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iShares Physical Gold</w:t>
            </w:r>
          </w:p>
        </w:tc>
        <w:tc>
          <w:tcPr>
            <w:tcW w:type="dxa" w:w="1417"/>
          </w:tcPr>
          <w:p>
            <w:r>
              <w:t>40.92</w:t>
            </w:r>
          </w:p>
        </w:tc>
        <w:tc>
          <w:tcPr>
            <w:tcW w:type="dxa" w:w="1417"/>
          </w:tcPr>
          <w:p>
            <w:r>
              <w:t>28.72</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BetaShares Hybrids</w:t>
            </w:r>
          </w:p>
        </w:tc>
        <w:tc>
          <w:tcPr>
            <w:tcW w:type="dxa" w:w="1417"/>
          </w:tcPr>
          <w:p>
            <w:r>
              <w:t>4.75</w:t>
            </w:r>
          </w:p>
        </w:tc>
        <w:tc>
          <w:tcPr>
            <w:tcW w:type="dxa" w:w="1417"/>
          </w:tcPr>
          <w:p>
            <w:r>
              <w:t>5.83</w:t>
            </w:r>
          </w:p>
        </w:tc>
      </w:tr>
      <w:tr>
        <w:tc>
          <w:tcPr>
            <w:tcW w:type="dxa" w:w="2268"/>
          </w:tcPr>
          <w:p>
            <w:r>
              <w:t>iShares Enh Cash</w:t>
            </w:r>
          </w:p>
        </w:tc>
        <w:tc>
          <w:tcPr>
            <w:tcW w:type="dxa" w:w="1417"/>
          </w:tcPr>
          <w:p>
            <w:r>
              <w:t>4.46</w:t>
            </w:r>
          </w:p>
        </w:tc>
        <w:tc>
          <w:tcPr>
            <w:tcW w:type="dxa" w:w="1417"/>
          </w:tcPr>
          <w:p>
            <w:r>
              <w:t>4.53</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