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Dynamic ETF 85 SMA</w:t>
        <w:br/>
        <w:t>Performance Report</w:t>
        <w:br/>
        <w:br/>
      </w:r>
      <w:r>
        <w:rPr>
          <w:rFonts w:ascii="Arial" w:hAnsi="Arial"/>
          <w:color w:val="75C104"/>
          <w:sz w:val="40"/>
        </w:rPr>
        <w:t>30 September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