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Dynamic ETF 98 SMA</w:t>
      </w:r>
      <w:r>
        <w:tab/>
      </w:r>
      <w:r>
        <w:t>30 September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Atchison98ETF</w:t>
            </w:r>
          </w:p>
        </w:tc>
        <w:tc>
          <w:tcPr>
            <w:tcW w:type="dxa" w:w="1644"/>
          </w:tcPr>
          <w:p>
            <w:r>
              <w:rPr>
                <w:b/>
              </w:rPr>
              <w:t>6.09</w:t>
            </w:r>
          </w:p>
        </w:tc>
        <w:tc>
          <w:tcPr>
            <w:tcW w:type="dxa" w:w="1644"/>
          </w:tcPr>
          <w:p>
            <w:r>
              <w:rPr>
                <w:b/>
              </w:rPr>
              <w:t>13.45</w:t>
            </w:r>
          </w:p>
        </w:tc>
        <w:tc>
          <w:tcPr>
            <w:tcW w:type="dxa" w:w="1644"/>
          </w:tcPr>
          <w:p>
            <w:r>
              <w:rPr>
                <w:b/>
              </w:rPr>
              <w:t>17.41</w:t>
            </w:r>
          </w:p>
        </w:tc>
        <w:tc>
          <w:tcPr>
            <w:tcW w:type="dxa" w:w="1644"/>
          </w:tcPr>
          <w:p>
            <w:r>
              <w:rPr>
                <w:b/>
              </w:rPr>
              <w:t>19.75</w:t>
            </w:r>
          </w:p>
        </w:tc>
        <w:tc>
          <w:tcPr>
            <w:tcW w:type="dxa" w:w="1644"/>
          </w:tcPr>
          <w:p>
            <w:r>
              <w:rPr>
                <w:b/>
              </w:rPr>
              <w:t>16.66</w:t>
            </w:r>
          </w:p>
        </w:tc>
      </w:tr>
      <w:tr>
        <w:tc>
          <w:tcPr>
            <w:tcW w:type="dxa" w:w="2551"/>
          </w:tcPr>
          <w:p>
            <w:r>
              <w:t>Peer Group</w:t>
            </w:r>
          </w:p>
        </w:tc>
        <w:tc>
          <w:tcPr>
            <w:tcW w:type="dxa" w:w="1644"/>
          </w:tcPr>
          <w:p>
            <w:r>
              <w:t>4.09</w:t>
            </w:r>
          </w:p>
        </w:tc>
        <w:tc>
          <w:tcPr>
            <w:tcW w:type="dxa" w:w="1644"/>
          </w:tcPr>
          <w:p>
            <w:r>
              <w:t>10.34</w:t>
            </w:r>
          </w:p>
        </w:tc>
        <w:tc>
          <w:tcPr>
            <w:tcW w:type="dxa" w:w="1644"/>
          </w:tcPr>
          <w:p>
            <w:r>
              <w:t>11.32</w:t>
            </w:r>
          </w:p>
        </w:tc>
        <w:tc>
          <w:tcPr>
            <w:tcW w:type="dxa" w:w="1644"/>
          </w:tcPr>
          <w:p>
            <w:r>
              <w:t>14.91</w:t>
            </w:r>
          </w:p>
        </w:tc>
        <w:tc>
          <w:tcPr>
            <w:tcW w:type="dxa" w:w="1644"/>
          </w:tcPr>
          <w:p>
            <w:r>
              <w:t>13.26</w:t>
            </w:r>
          </w:p>
        </w:tc>
      </w:tr>
      <w:tr>
        <w:tc>
          <w:tcPr>
            <w:tcW w:type="dxa" w:w="2551"/>
          </w:tcPr>
          <w:p>
            <w:r>
              <w:t>Inflation</w:t>
            </w:r>
          </w:p>
        </w:tc>
        <w:tc>
          <w:tcPr>
            <w:tcW w:type="dxa" w:w="1644"/>
          </w:tcPr>
          <w:p>
            <w:r>
              <w:t>-0.01</w:t>
            </w:r>
          </w:p>
        </w:tc>
        <w:tc>
          <w:tcPr>
            <w:tcW w:type="dxa" w:w="1644"/>
          </w:tcPr>
          <w:p>
            <w:r>
              <w:t>1.34</w:t>
            </w:r>
          </w:p>
        </w:tc>
        <w:tc>
          <w:tcPr>
            <w:tcW w:type="dxa" w:w="1644"/>
          </w:tcPr>
          <w:p>
            <w:r>
              <w:t>2.05</w:t>
            </w:r>
          </w:p>
        </w:tc>
        <w:tc>
          <w:tcPr>
            <w:tcW w:type="dxa" w:w="1644"/>
          </w:tcPr>
          <w:p>
            <w:r>
              <w:t>2.08</w:t>
            </w:r>
          </w:p>
        </w:tc>
        <w:tc>
          <w:tcPr>
            <w:tcW w:type="dxa" w:w="1644"/>
          </w:tcPr>
          <w:p>
            <w:r>
              <w:t>2.64</w:t>
            </w:r>
          </w:p>
        </w:tc>
      </w:tr>
      <w:tr>
        <w:tc>
          <w:tcPr>
            <w:tcW w:type="dxa" w:w="2551"/>
          </w:tcPr>
          <w:p>
            <w:r>
              <w:t>Outperformance vs Peers</w:t>
            </w:r>
          </w:p>
        </w:tc>
        <w:tc>
          <w:tcPr>
            <w:tcW w:type="dxa" w:w="1644"/>
          </w:tcPr>
          <w:p>
            <w:r>
              <w:t>2.0</w:t>
            </w:r>
          </w:p>
        </w:tc>
        <w:tc>
          <w:tcPr>
            <w:tcW w:type="dxa" w:w="1644"/>
          </w:tcPr>
          <w:p>
            <w:r>
              <w:t>3.11</w:t>
            </w:r>
          </w:p>
        </w:tc>
        <w:tc>
          <w:tcPr>
            <w:tcW w:type="dxa" w:w="1644"/>
          </w:tcPr>
          <w:p>
            <w:r>
              <w:t>6.09</w:t>
            </w:r>
          </w:p>
        </w:tc>
        <w:tc>
          <w:tcPr>
            <w:tcW w:type="dxa" w:w="1644"/>
          </w:tcPr>
          <w:p>
            <w:r>
              <w:t>4.84</w:t>
            </w:r>
          </w:p>
        </w:tc>
        <w:tc>
          <w:tcPr>
            <w:tcW w:type="dxa" w:w="1644"/>
          </w:tcPr>
          <w:p>
            <w:r>
              <w:t>3.41</w:t>
            </w:r>
          </w:p>
        </w:tc>
      </w:tr>
      <w:tr>
        <w:tc>
          <w:tcPr>
            <w:tcW w:type="dxa" w:w="2551"/>
          </w:tcPr>
          <w:p>
            <w:r>
              <w:t>Outperformance vs Inflation</w:t>
            </w:r>
          </w:p>
        </w:tc>
        <w:tc>
          <w:tcPr>
            <w:tcW w:type="dxa" w:w="1644"/>
          </w:tcPr>
          <w:p>
            <w:r>
              <w:t>6.09</w:t>
            </w:r>
          </w:p>
        </w:tc>
        <w:tc>
          <w:tcPr>
            <w:tcW w:type="dxa" w:w="1644"/>
          </w:tcPr>
          <w:p>
            <w:r>
              <w:t>12.11</w:t>
            </w:r>
          </w:p>
        </w:tc>
        <w:tc>
          <w:tcPr>
            <w:tcW w:type="dxa" w:w="1644"/>
          </w:tcPr>
          <w:p>
            <w:r>
              <w:t>15.36</w:t>
            </w:r>
          </w:p>
        </w:tc>
        <w:tc>
          <w:tcPr>
            <w:tcW w:type="dxa" w:w="1644"/>
          </w:tcPr>
          <w:p>
            <w:r>
              <w:t>17.67</w:t>
            </w:r>
          </w:p>
        </w:tc>
        <w:tc>
          <w:tcPr>
            <w:tcW w:type="dxa" w:w="1644"/>
          </w:tcPr>
          <w:p>
            <w:r>
              <w:t>14.02</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Mixed Asset – Aggresive Peer Index, after underlying manager fees and before tax, over rolling ten-year periods.</w:t>
      </w:r>
    </w:p>
    <w:p>
      <w:pPr>
        <w:pStyle w:val="Heading20"/>
      </w:pPr>
      <w:r>
        <w:t>Strategy Overview</w:t>
      </w:r>
    </w:p>
    <w:p>
      <w:pPr>
        <w:pStyle w:val="BodyStyle"/>
      </w:pPr>
      <w:r>
        <w:t>Atchison Dynamic ETF 70 Portfolio is a Separately Managed Account (SMA), which is an all-inclusive diversified, multi-asset, low-cost ETF investment portfolio professionally managed for you (the client) on behalf of a financial advisor. This portfolio is  98% growth assets, and 2% defensive assets.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Aggressive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0.15%</w:t>
            </w:r>
          </w:p>
        </w:tc>
      </w:tr>
      <w:tr>
        <w:tc>
          <w:tcPr>
            <w:tcW w:type="dxa" w:w="2268"/>
          </w:tcPr>
          <w:p>
            <w:r>
              <w:t>Underlying Perf Fees</w:t>
            </w:r>
          </w:p>
        </w:tc>
        <w:tc>
          <w:tcPr>
            <w:tcW w:type="dxa" w:w="3118"/>
          </w:tcPr>
          <w:p>
            <w:r>
              <w:t>0.00%</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NAB-AU</w:t>
            </w:r>
          </w:p>
        </w:tc>
        <w:tc>
          <w:tcPr>
            <w:tcW w:type="dxa" w:w="3685"/>
          </w:tcPr>
          <w:p>
            <w:r>
              <w:t>National Australia Bank Limited</w:t>
            </w:r>
          </w:p>
        </w:tc>
      </w:tr>
      <w:tr>
        <w:tc>
          <w:tcPr>
            <w:tcW w:type="dxa" w:w="1417"/>
          </w:tcPr>
          <w:p>
            <w:r>
              <w:t>WBC-AU</w:t>
            </w:r>
          </w:p>
        </w:tc>
        <w:tc>
          <w:tcPr>
            <w:tcW w:type="dxa" w:w="3685"/>
          </w:tcPr>
          <w:p>
            <w:r>
              <w:t>Westpac Banking Corporation</w:t>
            </w:r>
          </w:p>
        </w:tc>
      </w:tr>
      <w:tr>
        <w:tc>
          <w:tcPr>
            <w:tcW w:type="dxa" w:w="1417"/>
          </w:tcPr>
          <w:p>
            <w:r>
              <w:t>CSL-AU</w:t>
            </w:r>
          </w:p>
        </w:tc>
        <w:tc>
          <w:tcPr>
            <w:tcW w:type="dxa" w:w="3685"/>
          </w:tcPr>
          <w:p>
            <w:r>
              <w:t>CSL Limited</w:t>
            </w:r>
          </w:p>
        </w:tc>
      </w:tr>
      <w:tr>
        <w:tc>
          <w:tcPr>
            <w:tcW w:type="dxa" w:w="1417"/>
          </w:tcPr>
          <w:p>
            <w:r>
              <w:t>ANZ-AU</w:t>
            </w:r>
          </w:p>
        </w:tc>
        <w:tc>
          <w:tcPr>
            <w:tcW w:type="dxa" w:w="3685"/>
          </w:tcPr>
          <w:p>
            <w:r>
              <w:t>ANZ Group Holdings Limited</w:t>
            </w:r>
          </w:p>
        </w:tc>
      </w:tr>
      <w:tr>
        <w:tc>
          <w:tcPr>
            <w:tcW w:type="dxa" w:w="1417"/>
          </w:tcPr>
          <w:p>
            <w:r>
              <w:t>WES-AU</w:t>
            </w:r>
          </w:p>
        </w:tc>
        <w:tc>
          <w:tcPr>
            <w:tcW w:type="dxa" w:w="3685"/>
          </w:tcPr>
          <w:p>
            <w:r>
              <w:t>Wesfarmers Limited</w:t>
            </w:r>
          </w:p>
        </w:tc>
      </w:tr>
      <w:tr>
        <w:tc>
          <w:tcPr>
            <w:tcW w:type="dxa" w:w="1417"/>
          </w:tcPr>
          <w:p>
            <w:r>
              <w:t>WDS-AU</w:t>
            </w:r>
          </w:p>
        </w:tc>
        <w:tc>
          <w:tcPr>
            <w:tcW w:type="dxa" w:w="3685"/>
          </w:tcPr>
          <w:p>
            <w:r>
              <w:t>Woodside Energy Group Ltd</w:t>
            </w:r>
          </w:p>
        </w:tc>
      </w:tr>
      <w:tr>
        <w:tc>
          <w:tcPr>
            <w:tcW w:type="dxa" w:w="1417"/>
          </w:tcPr>
          <w:p>
            <w:r>
              <w:t>MQG-AU</w:t>
            </w:r>
          </w:p>
        </w:tc>
        <w:tc>
          <w:tcPr>
            <w:tcW w:type="dxa" w:w="3685"/>
          </w:tcPr>
          <w:p>
            <w:r>
              <w:t>Macquarie Group Limited</w:t>
            </w:r>
          </w:p>
        </w:tc>
      </w:tr>
      <w:tr>
        <w:tc>
          <w:tcPr>
            <w:tcW w:type="dxa" w:w="1417"/>
          </w:tcPr>
          <w:p>
            <w:r>
              <w:t>TLS-AU</w:t>
            </w:r>
          </w:p>
        </w:tc>
        <w:tc>
          <w:tcPr>
            <w:tcW w:type="dxa" w:w="3685"/>
          </w:tcPr>
          <w:p>
            <w:r>
              <w:t>Telstra Group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10.13</w:t>
            </w:r>
          </w:p>
        </w:tc>
        <w:tc>
          <w:tcPr>
            <w:tcW w:type="dxa" w:w="1559"/>
          </w:tcPr>
          <w:p>
            <w:r>
              <w:t>15.43</w:t>
            </w:r>
          </w:p>
        </w:tc>
      </w:tr>
      <w:tr>
        <w:tc>
          <w:tcPr>
            <w:tcW w:type="dxa" w:w="1984"/>
          </w:tcPr>
          <w:p>
            <w:r>
              <w:t>International Shares</w:t>
            </w:r>
          </w:p>
        </w:tc>
        <w:tc>
          <w:tcPr>
            <w:tcW w:type="dxa" w:w="1559"/>
          </w:tcPr>
          <w:p>
            <w:r>
              <w:t>19.7</w:t>
            </w:r>
          </w:p>
        </w:tc>
        <w:tc>
          <w:tcPr>
            <w:tcW w:type="dxa" w:w="1559"/>
          </w:tcPr>
          <w:p>
            <w:r>
              <w:t>21.32</w:t>
            </w:r>
          </w:p>
        </w:tc>
      </w:tr>
      <w:tr>
        <w:tc>
          <w:tcPr>
            <w:tcW w:type="dxa" w:w="1984"/>
          </w:tcPr>
          <w:p>
            <w:r>
              <w:t>Real Assets</w:t>
            </w:r>
          </w:p>
        </w:tc>
        <w:tc>
          <w:tcPr>
            <w:tcW w:type="dxa" w:w="1559"/>
          </w:tcPr>
          <w:p>
            <w:r>
              <w:t>5.72</w:t>
            </w:r>
          </w:p>
        </w:tc>
        <w:tc>
          <w:tcPr>
            <w:tcW w:type="dxa" w:w="1559"/>
          </w:tcPr>
          <w:p>
            <w:r>
              <w:t>17.81</w:t>
            </w:r>
          </w:p>
        </w:tc>
      </w:tr>
      <w:tr>
        <w:tc>
          <w:tcPr>
            <w:tcW w:type="dxa" w:w="1984"/>
          </w:tcPr>
          <w:p>
            <w:r>
              <w:t>Alternatives</w:t>
            </w:r>
          </w:p>
        </w:tc>
        <w:tc>
          <w:tcPr>
            <w:tcW w:type="dxa" w:w="1559"/>
          </w:tcPr>
          <w:p>
            <w:r>
              <w:t>49.04</w:t>
            </w:r>
          </w:p>
        </w:tc>
        <w:tc>
          <w:tcPr>
            <w:tcW w:type="dxa" w:w="1559"/>
          </w:tcPr>
          <w:p>
            <w:r>
              <w:t>26.82</w:t>
            </w:r>
          </w:p>
        </w:tc>
      </w:tr>
      <w:tr>
        <w:tc>
          <w:tcPr>
            <w:tcW w:type="dxa" w:w="1984"/>
          </w:tcPr>
          <w:p>
            <w:r>
              <w:t>Long Duration</w:t>
            </w:r>
          </w:p>
        </w:tc>
        <w:tc>
          <w:tcPr>
            <w:tcW w:type="dxa" w:w="1559"/>
          </w:tcPr>
          <w:p>
            <w:r>
              <w:t>inf</w:t>
            </w:r>
          </w:p>
        </w:tc>
        <w:tc>
          <w:tcPr>
            <w:tcW w:type="dxa" w:w="1559"/>
          </w:tcPr>
          <w:p>
            <w:r>
              <w:t>inf</w:t>
            </w:r>
          </w:p>
        </w:tc>
      </w:tr>
      <w:tr>
        <w:tc>
          <w:tcPr>
            <w:tcW w:type="dxa" w:w="1984"/>
          </w:tcPr>
          <w:p>
            <w:r>
              <w:t>Floating Rate</w:t>
            </w:r>
          </w:p>
        </w:tc>
        <w:tc>
          <w:tcPr>
            <w:tcW w:type="dxa" w:w="1559"/>
          </w:tcPr>
          <w:p>
            <w:r>
              <w:t>inf</w:t>
            </w:r>
          </w:p>
        </w:tc>
        <w:tc>
          <w:tcPr>
            <w:tcW w:type="dxa" w:w="1559"/>
          </w:tcPr>
          <w:p>
            <w:r>
              <w:t>inf</w:t>
            </w:r>
          </w:p>
        </w:tc>
      </w:tr>
      <w:tr>
        <w:tc>
          <w:tcPr>
            <w:tcW w:type="dxa" w:w="1984"/>
          </w:tcPr>
          <w:p>
            <w:r>
              <w:t>Cash</w:t>
            </w:r>
          </w:p>
        </w:tc>
        <w:tc>
          <w:tcPr>
            <w:tcW w:type="dxa" w:w="1559"/>
          </w:tcPr>
          <w:p>
            <w:r>
              <w:t>4.29</w:t>
            </w:r>
          </w:p>
        </w:tc>
        <w:tc>
          <w:tcPr>
            <w:tcW w:type="dxa" w:w="1559"/>
          </w:tcPr>
          <w:p>
            <w:r>
              <w:t>4.38</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2322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2322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10.73</w:t>
            </w:r>
          </w:p>
        </w:tc>
        <w:tc>
          <w:tcPr>
            <w:tcW w:type="dxa" w:w="1417"/>
          </w:tcPr>
          <w:p>
            <w:r>
              <w:t>15.87</w:t>
            </w:r>
          </w:p>
        </w:tc>
      </w:tr>
      <w:tr>
        <w:tc>
          <w:tcPr>
            <w:tcW w:type="dxa" w:w="2268"/>
          </w:tcPr>
          <w:p>
            <w:r>
              <w:rPr>
                <w:b/>
              </w:rPr>
              <w:t>BM: Australian Shares</w:t>
            </w:r>
          </w:p>
        </w:tc>
        <w:tc>
          <w:tcPr>
            <w:tcW w:type="dxa" w:w="1417"/>
          </w:tcPr>
          <w:p>
            <w:r>
              <w:rPr>
                <w:b/>
              </w:rPr>
              <w:t>10.49</w:t>
            </w:r>
          </w:p>
        </w:tc>
        <w:tc>
          <w:tcPr>
            <w:tcW w:type="dxa" w:w="1417"/>
          </w:tcPr>
          <w:p>
            <w:r>
              <w:rPr>
                <w:b/>
              </w:rPr>
              <w:t>15.89</w:t>
            </w:r>
          </w:p>
        </w:tc>
      </w:tr>
      <w:tr>
        <w:tc>
          <w:tcPr>
            <w:tcW w:type="dxa" w:w="2268"/>
          </w:tcPr>
          <w:p>
            <w:r>
              <w:t xml:space="preserve">VG MSCI World Hedged </w:t>
            </w:r>
          </w:p>
        </w:tc>
        <w:tc>
          <w:tcPr>
            <w:tcW w:type="dxa" w:w="1417"/>
          </w:tcPr>
          <w:p>
            <w:r>
              <w:t>16.8</w:t>
            </w:r>
          </w:p>
        </w:tc>
        <w:tc>
          <w:tcPr>
            <w:tcW w:type="dxa" w:w="1417"/>
          </w:tcPr>
          <w:p>
            <w:r>
              <w:t>22.61</w:t>
            </w:r>
          </w:p>
        </w:tc>
      </w:tr>
      <w:tr>
        <w:tc>
          <w:tcPr>
            <w:tcW w:type="dxa" w:w="2268"/>
          </w:tcPr>
          <w:p>
            <w:r>
              <w:t>iShares US 500</w:t>
            </w:r>
          </w:p>
        </w:tc>
        <w:tc>
          <w:tcPr>
            <w:tcW w:type="dxa" w:w="1417"/>
          </w:tcPr>
          <w:p>
            <w:r>
              <w:t>23.27</w:t>
            </w:r>
          </w:p>
        </w:tc>
        <w:tc>
          <w:tcPr>
            <w:tcW w:type="dxa" w:w="1417"/>
          </w:tcPr>
          <w:p>
            <w:r>
              <w:t>24.42</w:t>
            </w:r>
          </w:p>
        </w:tc>
      </w:tr>
      <w:tr>
        <w:tc>
          <w:tcPr>
            <w:tcW w:type="dxa" w:w="2268"/>
          </w:tcPr>
          <w:p>
            <w:r>
              <w:t>VG Europe Eq</w:t>
            </w:r>
          </w:p>
        </w:tc>
        <w:tc>
          <w:tcPr>
            <w:tcW w:type="dxa" w:w="1417"/>
          </w:tcPr>
          <w:p>
            <w:r>
              <w:t>18.79</w:t>
            </w:r>
          </w:p>
        </w:tc>
        <w:tc>
          <w:tcPr>
            <w:tcW w:type="dxa" w:w="1417"/>
          </w:tcPr>
          <w:p>
            <w:r>
              <w:t>18.54</w:t>
            </w:r>
          </w:p>
        </w:tc>
      </w:tr>
      <w:tr>
        <w:tc>
          <w:tcPr>
            <w:tcW w:type="dxa" w:w="2268"/>
          </w:tcPr>
          <w:p>
            <w:r>
              <w:t xml:space="preserve">iShares Japan </w:t>
            </w:r>
          </w:p>
        </w:tc>
        <w:tc>
          <w:tcPr>
            <w:tcW w:type="dxa" w:w="1417"/>
          </w:tcPr>
          <w:p>
            <w:r>
              <w:t>20.13</w:t>
            </w:r>
          </w:p>
        </w:tc>
        <w:tc>
          <w:tcPr>
            <w:tcW w:type="dxa" w:w="1417"/>
          </w:tcPr>
          <w:p>
            <w:r>
              <w:t>16.45</w:t>
            </w:r>
          </w:p>
        </w:tc>
      </w:tr>
      <w:tr>
        <w:tc>
          <w:tcPr>
            <w:tcW w:type="dxa" w:w="2268"/>
          </w:tcPr>
          <w:p>
            <w:r>
              <w:t>VG Asia ex Japan</w:t>
            </w:r>
          </w:p>
        </w:tc>
        <w:tc>
          <w:tcPr>
            <w:tcW w:type="dxa" w:w="1417"/>
          </w:tcPr>
          <w:p>
            <w:r>
              <w:t>20.95</w:t>
            </w:r>
          </w:p>
        </w:tc>
        <w:tc>
          <w:tcPr>
            <w:tcW w:type="dxa" w:w="1417"/>
          </w:tcPr>
          <w:p>
            <w:r>
              <w:t>20.23</w:t>
            </w:r>
          </w:p>
        </w:tc>
      </w:tr>
      <w:tr>
        <w:tc>
          <w:tcPr>
            <w:tcW w:type="dxa" w:w="2268"/>
          </w:tcPr>
          <w:p>
            <w:r>
              <w:rPr>
                <w:b/>
              </w:rPr>
              <w:t>BM: International Shares</w:t>
            </w:r>
          </w:p>
        </w:tc>
        <w:tc>
          <w:tcPr>
            <w:tcW w:type="dxa" w:w="1417"/>
          </w:tcPr>
          <w:p>
            <w:r>
              <w:rPr>
                <w:b/>
              </w:rPr>
              <w:t>23.27</w:t>
            </w:r>
          </w:p>
        </w:tc>
        <w:tc>
          <w:tcPr>
            <w:tcW w:type="dxa" w:w="1417"/>
          </w:tcPr>
          <w:p>
            <w:r>
              <w:rPr>
                <w:b/>
              </w:rPr>
              <w:t>22.62</w:t>
            </w:r>
          </w:p>
        </w:tc>
      </w:tr>
      <w:tr>
        <w:tc>
          <w:tcPr>
            <w:tcW w:type="dxa" w:w="2268"/>
          </w:tcPr>
          <w:p>
            <w:r>
              <w:t>VG Global Infra</w:t>
            </w:r>
          </w:p>
        </w:tc>
        <w:tc>
          <w:tcPr>
            <w:tcW w:type="dxa" w:w="1417"/>
          </w:tcPr>
          <w:p>
            <w:r>
              <w:t>11.98</w:t>
            </w:r>
          </w:p>
        </w:tc>
        <w:tc>
          <w:tcPr>
            <w:tcW w:type="dxa" w:w="1417"/>
          </w:tcPr>
          <w:p>
            <w:r>
              <w:t>15.47</w:t>
            </w:r>
          </w:p>
        </w:tc>
      </w:tr>
      <w:tr>
        <w:tc>
          <w:tcPr>
            <w:tcW w:type="dxa" w:w="2268"/>
          </w:tcPr>
          <w:p>
            <w:r>
              <w:t>iShares AREIT</w:t>
            </w:r>
          </w:p>
        </w:tc>
        <w:tc>
          <w:tcPr>
            <w:tcW w:type="dxa" w:w="1417"/>
          </w:tcPr>
          <w:p>
            <w:r>
              <w:t>2.68</w:t>
            </w:r>
          </w:p>
        </w:tc>
        <w:tc>
          <w:tcPr>
            <w:tcW w:type="dxa" w:w="1417"/>
          </w:tcPr>
          <w:p>
            <w:r>
              <w:t>22.33</w:t>
            </w:r>
          </w:p>
        </w:tc>
      </w:tr>
      <w:tr>
        <w:tc>
          <w:tcPr>
            <w:tcW w:type="dxa" w:w="2268"/>
          </w:tcPr>
          <w:p>
            <w:r>
              <w:t>iShares GREIT</w:t>
            </w:r>
          </w:p>
        </w:tc>
        <w:tc>
          <w:tcPr>
            <w:tcW w:type="dxa" w:w="1417"/>
          </w:tcPr>
          <w:p>
            <w:r>
              <w:t>-1.33</w:t>
            </w:r>
          </w:p>
        </w:tc>
        <w:tc>
          <w:tcPr>
            <w:tcW w:type="dxa" w:w="1417"/>
          </w:tcPr>
          <w:p>
            <w:r>
              <w:t>11.35</w:t>
            </w:r>
          </w:p>
        </w:tc>
      </w:tr>
      <w:tr>
        <w:tc>
          <w:tcPr>
            <w:tcW w:type="dxa" w:w="2268"/>
          </w:tcPr>
          <w:p>
            <w:r>
              <w:rPr>
                <w:b/>
              </w:rPr>
              <w:t>BM: Real Assets</w:t>
            </w:r>
          </w:p>
        </w:tc>
        <w:tc>
          <w:tcPr>
            <w:tcW w:type="dxa" w:w="1417"/>
          </w:tcPr>
          <w:p>
            <w:r>
              <w:rPr>
                <w:b/>
              </w:rPr>
              <w:t>2.49</w:t>
            </w:r>
          </w:p>
        </w:tc>
        <w:tc>
          <w:tcPr>
            <w:tcW w:type="dxa" w:w="1417"/>
          </w:tcPr>
          <w:p>
            <w:r>
              <w:rPr>
                <w:b/>
              </w:rPr>
              <w:t>12.89</w:t>
            </w:r>
          </w:p>
        </w:tc>
      </w:tr>
      <w:tr>
        <w:tc>
          <w:tcPr>
            <w:tcW w:type="dxa" w:w="2268"/>
          </w:tcPr>
          <w:p>
            <w:r>
              <w:t>iShares Physical Gold</w:t>
            </w:r>
          </w:p>
        </w:tc>
        <w:tc>
          <w:tcPr>
            <w:tcW w:type="dxa" w:w="1417"/>
          </w:tcPr>
          <w:p>
            <w:r>
              <w:t>52.96</w:t>
            </w:r>
          </w:p>
        </w:tc>
        <w:tc>
          <w:tcPr>
            <w:tcW w:type="dxa" w:w="1417"/>
          </w:tcPr>
          <w:p>
            <w:r>
              <w:t>36.56</w:t>
            </w:r>
          </w:p>
        </w:tc>
      </w:tr>
      <w:tr>
        <w:tc>
          <w:tcPr>
            <w:tcW w:type="dxa" w:w="2268"/>
          </w:tcPr>
          <w:p>
            <w:r>
              <w:rPr>
                <w:b/>
              </w:rPr>
              <w:t>BM: Alternatives</w:t>
            </w:r>
          </w:p>
        </w:tc>
        <w:tc>
          <w:tcPr>
            <w:tcW w:type="dxa" w:w="1417"/>
          </w:tcPr>
          <w:p>
            <w:r>
              <w:rPr>
                <w:b/>
              </w:rPr>
              <w:t>4.28</w:t>
            </w:r>
          </w:p>
        </w:tc>
        <w:tc>
          <w:tcPr>
            <w:tcW w:type="dxa" w:w="1417"/>
          </w:tcPr>
          <w:p>
            <w:r>
              <w:rPr>
                <w:b/>
              </w:rPr>
              <w:t>4.41</w:t>
            </w:r>
          </w:p>
        </w:tc>
      </w:tr>
      <w:tr>
        <w:tc>
          <w:tcPr>
            <w:tcW w:type="dxa" w:w="2268"/>
          </w:tcPr>
          <w:p>
            <w:r>
              <w:t>iShares Cash</w:t>
            </w:r>
          </w:p>
        </w:tc>
        <w:tc>
          <w:tcPr>
            <w:tcW w:type="dxa" w:w="1417"/>
          </w:tcPr>
          <w:p>
            <w:r>
              <w:t>4.29</w:t>
            </w:r>
          </w:p>
        </w:tc>
        <w:tc>
          <w:tcPr>
            <w:tcW w:type="dxa" w:w="1417"/>
          </w:tcPr>
          <w:p>
            <w:r>
              <w:t>4.39</w:t>
            </w:r>
          </w:p>
        </w:tc>
      </w:tr>
      <w:tr>
        <w:tc>
          <w:tcPr>
            <w:tcW w:type="dxa" w:w="2268"/>
          </w:tcPr>
          <w:p>
            <w:r>
              <w:t>Cash</w:t>
            </w:r>
          </w:p>
        </w:tc>
        <w:tc>
          <w:tcPr>
            <w:tcW w:type="dxa" w:w="1417"/>
          </w:tcPr>
          <w:p>
            <w:r>
              <w:t>4.28</w:t>
            </w:r>
          </w:p>
        </w:tc>
        <w:tc>
          <w:tcPr>
            <w:tcW w:type="dxa" w:w="1417"/>
          </w:tcPr>
          <w:p>
            <w:r>
              <w:t>4.41</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September saw global equities extend their rally, supported by the start of the U.S. easing cycle and improving growth sentiment. Bonds also gained as yields moved lower, particularly at the long end of the curve.</w:t>
        <w:br/>
        <w:br/>
        <w:t xml:space="preserve">The S&amp;P/ASX 200 declined 0.8% in September, snapping its five-month winning streak. 9 out of 11 sectors reported losses with financials falling 1.4% detracting meaningfully given their index weight. Energy took the biggest fall returning -9.8% on the back of lower oil price. </w:t>
        <w:br/>
        <w:br/>
        <w:t>Materials stood out as the strongest performer on the ASX, rising 6.1% on the back of strength in gold and diversified miners.</w:t>
        <w:br/>
        <w:br/>
        <w:t xml:space="preserve">Emerging markets (+5.7%), particularly China (China Top 50 +6.7%), outperformed developed peers. Improving macro data and continued policy support underpinned performance. </w:t>
        <w:br/>
        <w:br/>
        <w:t>U.S. equities recorded a fifth consecutive month of gains. The S&amp;P 500 posted its best September month in 15 years, gaining 3.7%, in what has historically been the worst month for stocks. This was supported by a Federal Reserve rate cut.</w:t>
        <w:br/>
        <w:br/>
        <w:t>Large cap equities outperformed mid and smalls in the US. Growth was the dominant factor outperforming value.</w:t>
        <w:br/>
        <w:br/>
        <w:t>Sector performance was split in September, with Technology leading the way, bouncing back from a negative August, advancing over 7.5%. Consumer Staples, Materials, and Energy all went negative, with Financials virtually flat at 0.1% in September.</w:t>
        <w:br/>
        <w:br/>
        <w:t>European equities advanced 1% for September continuing their positive run. However, german equities have been a drag for the quarter falling 1.2% behind political uncertainty.</w:t>
        <w:br/>
        <w:br/>
        <w:t>The Federal Reserve cut the federal funds rate by 25bps in September 2025, bringing it to the 4.00%–4.25% range, in line with expectations. It is the first reduction in borrowing costs since December.</w:t>
        <w:br/>
        <w:br/>
        <w:t>The RBA decided to leave the cash rate unchanged at 3.60 per cent at its September meeting. Bond indices were positive or neutral for the month.</w:t>
        <w:br/>
        <w:br/>
        <w:t>Commodites exteneded their rally. Gold reached record highs and copper saw a surge in prices. Rare earths performed well due to supply chain strain.</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