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Alternatives SMA</w:t>
      </w:r>
      <w:r>
        <w:tab/>
      </w:r>
      <w:r>
        <w:t>31 January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AtchisonAlts</w:t>
            </w:r>
          </w:p>
        </w:tc>
        <w:tc>
          <w:tcPr>
            <w:tcW w:type="dxa" w:w="1644"/>
          </w:tcPr>
          <w:p>
            <w:r>
              <w:rPr>
                <w:b/>
              </w:rPr>
              <w:t>3.97</w:t>
            </w:r>
          </w:p>
        </w:tc>
        <w:tc>
          <w:tcPr>
            <w:tcW w:type="dxa" w:w="1644"/>
          </w:tcPr>
          <w:p>
            <w:r>
              <w:rPr>
                <w:b/>
              </w:rPr>
              <w:t>6.25</w:t>
            </w:r>
          </w:p>
        </w:tc>
        <w:tc>
          <w:tcPr>
            <w:tcW w:type="dxa" w:w="1644"/>
          </w:tcPr>
          <w:p>
            <w:r>
              <w:rPr>
                <w:b/>
              </w:rPr>
              <w:t>13.4</w:t>
            </w:r>
          </w:p>
        </w:tc>
        <w:tc>
          <w:tcPr>
            <w:tcW w:type="dxa" w:w="1644"/>
          </w:tcPr>
          <w:p>
            <w:r>
              <w:rPr>
                <w:b/>
              </w:rPr>
              <w:t>8.62</w:t>
            </w:r>
          </w:p>
        </w:tc>
        <w:tc>
          <w:tcPr>
            <w:tcW w:type="dxa" w:w="1644"/>
          </w:tcPr>
          <w:p>
            <w:r>
              <w:rPr>
                <w:b/>
              </w:rPr>
              <w:t>8.76</w:t>
            </w:r>
          </w:p>
        </w:tc>
      </w:tr>
      <w:tr>
        <w:tc>
          <w:tcPr>
            <w:tcW w:type="dxa" w:w="2551"/>
          </w:tcPr>
          <w:p>
            <w:r>
              <w:t>Peer Group</w:t>
            </w:r>
          </w:p>
        </w:tc>
        <w:tc>
          <w:tcPr>
            <w:tcW w:type="dxa" w:w="1644"/>
          </w:tcPr>
          <w:p>
            <w:r>
              <w:t>3.89</w:t>
            </w:r>
          </w:p>
        </w:tc>
        <w:tc>
          <w:tcPr>
            <w:tcW w:type="dxa" w:w="1644"/>
          </w:tcPr>
          <w:p>
            <w:r>
              <w:t>3.89</w:t>
            </w:r>
          </w:p>
        </w:tc>
        <w:tc>
          <w:tcPr>
            <w:tcW w:type="dxa" w:w="1644"/>
          </w:tcPr>
          <w:p>
            <w:r>
              <w:t>7.44</w:t>
            </w:r>
          </w:p>
        </w:tc>
        <w:tc>
          <w:tcPr>
            <w:tcW w:type="dxa" w:w="1644"/>
          </w:tcPr>
          <w:p>
            <w:r>
              <w:t>6.41</w:t>
            </w:r>
          </w:p>
        </w:tc>
        <w:tc>
          <w:tcPr>
            <w:tcW w:type="dxa" w:w="1644"/>
          </w:tcPr>
          <w:p>
            <w:r>
              <w:t>7.43</w:t>
            </w:r>
          </w:p>
        </w:tc>
      </w:tr>
      <w:tr>
        <w:tc>
          <w:tcPr>
            <w:tcW w:type="dxa" w:w="2551"/>
          </w:tcPr>
          <w:p>
            <w:r>
              <w:t>Inflation</w:t>
            </w:r>
          </w:p>
        </w:tc>
        <w:tc>
          <w:tcPr>
            <w:tcW w:type="dxa" w:w="1644"/>
          </w:tcPr>
          <w:p>
            <w:r>
              <w:t>0.0</w:t>
            </w:r>
          </w:p>
        </w:tc>
        <w:tc>
          <w:tcPr>
            <w:tcW w:type="dxa" w:w="1644"/>
          </w:tcPr>
          <w:p>
            <w:r>
              <w:t>0.55</w:t>
            </w:r>
          </w:p>
        </w:tc>
        <w:tc>
          <w:tcPr>
            <w:tcW w:type="dxa" w:w="1644"/>
          </w:tcPr>
          <w:p>
            <w:r>
              <w:t>2.78</w:t>
            </w:r>
          </w:p>
        </w:tc>
        <w:tc>
          <w:tcPr>
            <w:tcW w:type="dxa" w:w="1644"/>
          </w:tcPr>
          <w:p>
            <w:r>
              <w:t>3.43</w:t>
            </w:r>
          </w:p>
        </w:tc>
        <w:tc>
          <w:tcPr>
            <w:tcW w:type="dxa" w:w="1644"/>
          </w:tcPr>
          <w:p>
            <w:r>
              <w:t>3.38</w:t>
            </w:r>
          </w:p>
        </w:tc>
      </w:tr>
      <w:tr>
        <w:tc>
          <w:tcPr>
            <w:tcW w:type="dxa" w:w="2551"/>
          </w:tcPr>
          <w:p>
            <w:r>
              <w:t>Outperformance vs Peers</w:t>
            </w:r>
          </w:p>
        </w:tc>
        <w:tc>
          <w:tcPr>
            <w:tcW w:type="dxa" w:w="1644"/>
          </w:tcPr>
          <w:p>
            <w:r>
              <w:t>0.08</w:t>
            </w:r>
          </w:p>
        </w:tc>
        <w:tc>
          <w:tcPr>
            <w:tcW w:type="dxa" w:w="1644"/>
          </w:tcPr>
          <w:p>
            <w:r>
              <w:t>2.36</w:t>
            </w:r>
          </w:p>
        </w:tc>
        <w:tc>
          <w:tcPr>
            <w:tcW w:type="dxa" w:w="1644"/>
          </w:tcPr>
          <w:p>
            <w:r>
              <w:t>5.96</w:t>
            </w:r>
          </w:p>
        </w:tc>
        <w:tc>
          <w:tcPr>
            <w:tcW w:type="dxa" w:w="1644"/>
          </w:tcPr>
          <w:p>
            <w:r>
              <w:t>2.21</w:t>
            </w:r>
          </w:p>
        </w:tc>
        <w:tc>
          <w:tcPr>
            <w:tcW w:type="dxa" w:w="1644"/>
          </w:tcPr>
          <w:p>
            <w:r>
              <w:t>1.33</w:t>
            </w:r>
          </w:p>
        </w:tc>
      </w:tr>
      <w:tr>
        <w:tc>
          <w:tcPr>
            <w:tcW w:type="dxa" w:w="2551"/>
          </w:tcPr>
          <w:p>
            <w:r>
              <w:t>Outperformance vs Inflation</w:t>
            </w:r>
          </w:p>
        </w:tc>
        <w:tc>
          <w:tcPr>
            <w:tcW w:type="dxa" w:w="1644"/>
          </w:tcPr>
          <w:p>
            <w:r>
              <w:t>3.97</w:t>
            </w:r>
          </w:p>
        </w:tc>
        <w:tc>
          <w:tcPr>
            <w:tcW w:type="dxa" w:w="1644"/>
          </w:tcPr>
          <w:p>
            <w:r>
              <w:t>5.7</w:t>
            </w:r>
          </w:p>
        </w:tc>
        <w:tc>
          <w:tcPr>
            <w:tcW w:type="dxa" w:w="1644"/>
          </w:tcPr>
          <w:p>
            <w:r>
              <w:t>10.63</w:t>
            </w:r>
          </w:p>
        </w:tc>
        <w:tc>
          <w:tcPr>
            <w:tcW w:type="dxa" w:w="1644"/>
          </w:tcPr>
          <w:p>
            <w:r>
              <w:t>5.18</w:t>
            </w:r>
          </w:p>
        </w:tc>
        <w:tc>
          <w:tcPr>
            <w:tcW w:type="dxa" w:w="1644"/>
          </w:tcPr>
          <w:p>
            <w:r>
              <w:t>5.38</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fees, over rolling five-year periods.</w:t>
      </w:r>
    </w:p>
    <w:p>
      <w:pPr>
        <w:pStyle w:val="Heading20"/>
      </w:pPr>
      <w:r>
        <w:t>Strategy Overview</w:t>
      </w:r>
    </w:p>
    <w:p>
      <w:pPr>
        <w:pStyle w:val="BodyStyle"/>
      </w:pPr>
      <w:r>
        <w:t>The Atchison Active Alternatives Portfolio offers an all-in-one solution for your alternative asset class exposure. This solution invests across a broad spectrum of liquid alternatives which may include, listed private equity, buy-write, commodities, hedge funds, currency alpha, macro discretionary, venture capital, risk mitigation, distressed and private credit.</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Alternatives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0.79%</w:t>
            </w:r>
          </w:p>
        </w:tc>
      </w:tr>
      <w:tr>
        <w:tc>
          <w:tcPr>
            <w:tcW w:type="dxa" w:w="2268"/>
          </w:tcPr>
          <w:p>
            <w:r>
              <w:t>Underlying Perf Fees</w:t>
            </w:r>
          </w:p>
        </w:tc>
        <w:tc>
          <w:tcPr>
            <w:tcW w:type="dxa" w:w="3118"/>
          </w:tcPr>
          <w:p>
            <w:r>
              <w:t>0.09%</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0.0</w:t>
            </w:r>
          </w:p>
        </w:tc>
        <w:tc>
          <w:tcPr>
            <w:tcW w:type="dxa" w:w="1039"/>
          </w:tcPr>
          <w:p>
            <w:r>
              <w:t>0.0</w:t>
            </w:r>
          </w:p>
        </w:tc>
        <w:tc>
          <w:tcPr>
            <w:tcW w:type="dxa" w:w="1039"/>
          </w:tcPr>
          <w:p>
            <w:r>
              <w:t>0.0</w:t>
            </w:r>
          </w:p>
        </w:tc>
      </w:tr>
      <w:tr>
        <w:tc>
          <w:tcPr>
            <w:tcW w:type="dxa" w:w="1984"/>
          </w:tcPr>
          <w:p>
            <w:r>
              <w:t>International Shares</w:t>
            </w:r>
          </w:p>
        </w:tc>
        <w:tc>
          <w:tcPr>
            <w:tcW w:type="dxa" w:w="1039"/>
          </w:tcPr>
          <w:p>
            <w:r>
              <w:t>0.0</w:t>
            </w:r>
          </w:p>
        </w:tc>
        <w:tc>
          <w:tcPr>
            <w:tcW w:type="dxa" w:w="1039"/>
          </w:tcPr>
          <w:p>
            <w:r>
              <w:t>0.0</w:t>
            </w:r>
          </w:p>
        </w:tc>
        <w:tc>
          <w:tcPr>
            <w:tcW w:type="dxa" w:w="1039"/>
          </w:tcPr>
          <w:p>
            <w:r>
              <w:t>0.0</w:t>
            </w:r>
          </w:p>
        </w:tc>
      </w:tr>
      <w:tr>
        <w:tc>
          <w:tcPr>
            <w:tcW w:type="dxa" w:w="1984"/>
          </w:tcPr>
          <w:p>
            <w:r>
              <w:t>Real Assets</w:t>
            </w:r>
          </w:p>
        </w:tc>
        <w:tc>
          <w:tcPr>
            <w:tcW w:type="dxa" w:w="1039"/>
          </w:tcPr>
          <w:p>
            <w:r>
              <w:t>0.0</w:t>
            </w:r>
          </w:p>
        </w:tc>
        <w:tc>
          <w:tcPr>
            <w:tcW w:type="dxa" w:w="1039"/>
          </w:tcPr>
          <w:p>
            <w:r>
              <w:t>0.0</w:t>
            </w:r>
          </w:p>
        </w:tc>
        <w:tc>
          <w:tcPr>
            <w:tcW w:type="dxa" w:w="1039"/>
          </w:tcPr>
          <w:p>
            <w:r>
              <w:t>inf</w:t>
            </w:r>
          </w:p>
        </w:tc>
      </w:tr>
      <w:tr>
        <w:tc>
          <w:tcPr>
            <w:tcW w:type="dxa" w:w="1984"/>
          </w:tcPr>
          <w:p>
            <w:r>
              <w:t>Alternatives</w:t>
            </w:r>
          </w:p>
        </w:tc>
        <w:tc>
          <w:tcPr>
            <w:tcW w:type="dxa" w:w="1039"/>
          </w:tcPr>
          <w:p>
            <w:r>
              <w:t>13.99</w:t>
            </w:r>
          </w:p>
        </w:tc>
        <w:tc>
          <w:tcPr>
            <w:tcW w:type="dxa" w:w="1039"/>
          </w:tcPr>
          <w:p>
            <w:r>
              <w:t>8.9</w:t>
            </w:r>
          </w:p>
        </w:tc>
        <w:tc>
          <w:tcPr>
            <w:tcW w:type="dxa" w:w="1039"/>
          </w:tcPr>
          <w:p>
            <w:r>
              <w:t>8.99</w:t>
            </w:r>
          </w:p>
        </w:tc>
      </w:tr>
      <w:tr>
        <w:tc>
          <w:tcPr>
            <w:tcW w:type="dxa" w:w="1984"/>
          </w:tcPr>
          <w:p>
            <w:r>
              <w:t>Long Duration</w:t>
            </w:r>
          </w:p>
        </w:tc>
        <w:tc>
          <w:tcPr>
            <w:tcW w:type="dxa" w:w="1039"/>
          </w:tcPr>
          <w:p>
            <w:r>
              <w:t>0.0</w:t>
            </w:r>
          </w:p>
        </w:tc>
        <w:tc>
          <w:tcPr>
            <w:tcW w:type="dxa" w:w="1039"/>
          </w:tcPr>
          <w:p>
            <w:r>
              <w:t>0.0</w:t>
            </w:r>
          </w:p>
        </w:tc>
        <w:tc>
          <w:tcPr>
            <w:tcW w:type="dxa" w:w="1039"/>
          </w:tcPr>
          <w:p>
            <w:r>
              <w:t>0.0</w:t>
            </w:r>
          </w:p>
        </w:tc>
      </w:tr>
      <w:tr>
        <w:tc>
          <w:tcPr>
            <w:tcW w:type="dxa" w:w="1984"/>
          </w:tcPr>
          <w:p>
            <w:r>
              <w:t>Floating Rate</w:t>
            </w:r>
          </w:p>
        </w:tc>
        <w:tc>
          <w:tcPr>
            <w:tcW w:type="dxa" w:w="1039"/>
          </w:tcPr>
          <w:p>
            <w:r>
              <w:t>0.0</w:t>
            </w:r>
          </w:p>
        </w:tc>
        <w:tc>
          <w:tcPr>
            <w:tcW w:type="dxa" w:w="1039"/>
          </w:tcPr>
          <w:p>
            <w:r>
              <w:t>0.0</w:t>
            </w:r>
          </w:p>
        </w:tc>
        <w:tc>
          <w:tcPr>
            <w:tcW w:type="dxa" w:w="1039"/>
          </w:tcPr>
          <w:p>
            <w:r>
              <w:t>0.0</w:t>
            </w:r>
          </w:p>
        </w:tc>
      </w:tr>
      <w:tr>
        <w:tc>
          <w:tcPr>
            <w:tcW w:type="dxa" w:w="1984"/>
          </w:tcPr>
          <w:p>
            <w:r>
              <w:t>Cash</w:t>
            </w:r>
          </w:p>
        </w:tc>
        <w:tc>
          <w:tcPr>
            <w:tcW w:type="dxa" w:w="1039"/>
          </w:tcPr>
          <w:p>
            <w:r>
              <w:t>4.38</w:t>
            </w:r>
          </w:p>
        </w:tc>
        <w:tc>
          <w:tcPr>
            <w:tcW w:type="dxa" w:w="1039"/>
          </w:tcPr>
          <w:p>
            <w:r>
              <w:t>2.17</w:t>
            </w:r>
          </w:p>
        </w:tc>
        <w:tc>
          <w:tcPr>
            <w:tcW w:type="dxa" w:w="1039"/>
          </w:tcPr>
          <w:p>
            <w:r>
              <w:t>2.08</w:t>
            </w:r>
          </w:p>
        </w:tc>
      </w:tr>
    </w:tbl>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340000"/>
            <wp:docPr id="5" name="Picture 5"/>
            <wp:cNvGraphicFramePr>
              <a:graphicFrameLocks noChangeAspect="1"/>
            </wp:cNvGraphicFramePr>
            <a:graphic>
              <a:graphicData uri="http://schemas.openxmlformats.org/drawingml/2006/picture">
                <pic:pic>
                  <pic:nvPicPr>
                    <pic:cNvPr id="0" name="6_Alts_MthCorrel.png"/>
                    <pic:cNvPicPr/>
                  </pic:nvPicPr>
                  <pic:blipFill>
                    <a:blip r:embed="rId23"/>
                    <a:stretch>
                      <a:fillRect/>
                    </a:stretch>
                  </pic:blipFill>
                  <pic:spPr>
                    <a:xfrm>
                      <a:off x="0" y="0"/>
                      <a:ext cx="3240000" cy="2340000"/>
                    </a:xfrm>
                    <a:prstGeom prst="rect"/>
                  </pic:spPr>
                </pic:pic>
              </a:graphicData>
            </a:graphic>
          </wp:inline>
        </w:drawing>
      </w:r>
    </w:p>
    <w:br w:type="column"/>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bl>
    <w:p>
      <w:pPr>
        <w:pStyle w:val="Heading30"/>
      </w:pPr>
      <w:r>
        <w:t>1 Year Performance Heatmap</w:t>
      </w:r>
    </w:p>
    <w:p>
      <w:r>
        <w:drawing>
          <wp:inline xmlns:a="http://schemas.openxmlformats.org/drawingml/2006/main" xmlns:pic="http://schemas.openxmlformats.org/drawingml/2006/picture">
            <wp:extent cx="3240000" cy="2520000"/>
            <wp:docPr id="6" name="Picture 6"/>
            <wp:cNvGraphicFramePr>
              <a:graphicFrameLocks noChangeAspect="1"/>
            </wp:cNvGraphicFramePr>
            <a:graphic>
              <a:graphicData uri="http://schemas.openxmlformats.org/drawingml/2006/picture">
                <pic:pic>
                  <pic:nvPicPr>
                    <pic:cNvPr id="0" name="6_Sleeve_Treemap1_1Yr.png"/>
                    <pic:cNvPicPr/>
                  </pic:nvPicPr>
                  <pic:blipFill>
                    <a:blip r:embed="rId24"/>
                    <a:stretch>
                      <a:fillRect/>
                    </a:stretch>
                  </pic:blipFill>
                  <pic:spPr>
                    <a:xfrm>
                      <a:off x="0" y="0"/>
                      <a:ext cx="3240000" cy="2520000"/>
                    </a:xfrm>
                    <a:prstGeom prst="rect"/>
                  </pic:spPr>
                </pic:pic>
              </a:graphicData>
            </a:graphic>
          </wp:inline>
        </w:drawing>
      </w:r>
    </w:p>
    <w:p>
      <w:pPr>
        <w:pStyle w:val="Heading30"/>
      </w:pPr>
      <w:r>
        <w:t>Underlying Manager Performance</w:t>
      </w:r>
    </w:p>
    <w:p>
      <w:r>
        <w:drawing>
          <wp:inline xmlns:a="http://schemas.openxmlformats.org/drawingml/2006/main" xmlns:pic="http://schemas.openxmlformats.org/drawingml/2006/picture">
            <wp:extent cx="3240000" cy="1800000"/>
            <wp:docPr id="7" name="Picture 7"/>
            <wp:cNvGraphicFramePr>
              <a:graphicFrameLocks noChangeAspect="1"/>
            </wp:cNvGraphicFramePr>
            <a:graphic>
              <a:graphicData uri="http://schemas.openxmlformats.org/drawingml/2006/picture">
                <pic:pic>
                  <pic:nvPicPr>
                    <pic:cNvPr id="0" name="6_Alts_Sleeve_Components.png"/>
                    <pic:cNvPicPr/>
                  </pic:nvPicPr>
                  <pic:blipFill>
                    <a:blip r:embed="rId25"/>
                    <a:stretch>
                      <a:fillRect/>
                    </a:stretch>
                  </pic:blipFill>
                  <pic:spPr>
                    <a:xfrm>
                      <a:off x="0" y="0"/>
                      <a:ext cx="3240000" cy="1800000"/>
                    </a:xfrm>
                    <a:prstGeom prst="rect"/>
                  </pic:spPr>
                </pic:pic>
              </a:graphicData>
            </a:graphic>
          </wp:inline>
        </w:drawing>
      </w:r>
    </w:p>
    <w:br w:type="column"/>
    <w:p>
      <w:pPr>
        <w:pStyle w:val="Heading20"/>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