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Alternatives SMA</w:t>
        <w:br/>
        <w:t>Performance Report</w:t>
        <w:br/>
        <w:br/>
      </w:r>
      <w:r>
        <w:rPr>
          <w:rFonts w:ascii="Arial" w:hAnsi="Arial"/>
          <w:color w:val="75C104"/>
          <w:sz w:val="40"/>
        </w:rPr>
        <w:t>31 March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