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AtchisonAlts</w:t>
            </w:r>
          </w:p>
        </w:tc>
        <w:tc>
          <w:tcPr>
            <w:tcW w:type="dxa" w:w="1644"/>
          </w:tcPr>
          <w:p>
            <w:r>
              <w:rPr>
                <w:b/>
              </w:rPr>
              <w:t>0.03</w:t>
            </w:r>
          </w:p>
        </w:tc>
        <w:tc>
          <w:tcPr>
            <w:tcW w:type="dxa" w:w="1644"/>
          </w:tcPr>
          <w:p>
            <w:r>
              <w:rPr>
                <w:b/>
              </w:rPr>
              <w:t>4.0</w:t>
            </w:r>
          </w:p>
        </w:tc>
        <w:tc>
          <w:tcPr>
            <w:tcW w:type="dxa" w:w="1644"/>
          </w:tcPr>
          <w:p>
            <w:r>
              <w:rPr>
                <w:b/>
              </w:rPr>
              <w:t>9.41</w:t>
            </w:r>
          </w:p>
        </w:tc>
        <w:tc>
          <w:tcPr>
            <w:tcW w:type="dxa" w:w="1644"/>
          </w:tcPr>
          <w:p>
            <w:r>
              <w:rPr>
                <w:b/>
              </w:rPr>
              <w:t>8.12</w:t>
            </w:r>
          </w:p>
        </w:tc>
        <w:tc>
          <w:tcPr>
            <w:tcW w:type="dxa" w:w="1644"/>
          </w:tcPr>
          <w:p>
            <w:r>
              <w:rPr>
                <w:b/>
              </w:rPr>
              <w:t>7.82</w:t>
            </w:r>
          </w:p>
        </w:tc>
      </w:tr>
      <w:tr>
        <w:tc>
          <w:tcPr>
            <w:tcW w:type="dxa" w:w="2551"/>
          </w:tcPr>
          <w:p>
            <w:r>
              <w:t>Peer Group</w:t>
            </w:r>
          </w:p>
        </w:tc>
        <w:tc>
          <w:tcPr>
            <w:tcW w:type="dxa" w:w="1644"/>
          </w:tcPr>
          <w:p>
            <w:r>
              <w:t>-3.37</w:t>
            </w:r>
          </w:p>
        </w:tc>
        <w:tc>
          <w:tcPr>
            <w:tcW w:type="dxa" w:w="1644"/>
          </w:tcPr>
          <w:p>
            <w:r>
              <w:t>0.39</w:t>
            </w:r>
          </w:p>
        </w:tc>
        <w:tc>
          <w:tcPr>
            <w:tcW w:type="dxa" w:w="1644"/>
          </w:tcPr>
          <w:p>
            <w:r>
              <w:t>0.75</w:t>
            </w:r>
          </w:p>
        </w:tc>
        <w:tc>
          <w:tcPr>
            <w:tcW w:type="dxa" w:w="1644"/>
          </w:tcPr>
          <w:p>
            <w:r>
              <w:t>4.19</w:t>
            </w:r>
          </w:p>
        </w:tc>
        <w:tc>
          <w:tcPr>
            <w:tcW w:type="dxa" w:w="1644"/>
          </w:tcPr>
          <w:p>
            <w:r>
              <w:t>5.07</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3.4</w:t>
            </w:r>
          </w:p>
        </w:tc>
        <w:tc>
          <w:tcPr>
            <w:tcW w:type="dxa" w:w="1644"/>
          </w:tcPr>
          <w:p>
            <w:r>
              <w:t>3.61</w:t>
            </w:r>
          </w:p>
        </w:tc>
        <w:tc>
          <w:tcPr>
            <w:tcW w:type="dxa" w:w="1644"/>
          </w:tcPr>
          <w:p>
            <w:r>
              <w:t>8.66</w:t>
            </w:r>
          </w:p>
        </w:tc>
        <w:tc>
          <w:tcPr>
            <w:tcW w:type="dxa" w:w="1644"/>
          </w:tcPr>
          <w:p>
            <w:r>
              <w:t>3.93</w:t>
            </w:r>
          </w:p>
        </w:tc>
        <w:tc>
          <w:tcPr>
            <w:tcW w:type="dxa" w:w="1644"/>
          </w:tcPr>
          <w:p>
            <w:r>
              <w:t>2.75</w:t>
            </w:r>
          </w:p>
        </w:tc>
      </w:tr>
      <w:tr>
        <w:tc>
          <w:tcPr>
            <w:tcW w:type="dxa" w:w="2551"/>
          </w:tcPr>
          <w:p>
            <w:r>
              <w:t>Outperformance vs Inflation</w:t>
            </w:r>
          </w:p>
        </w:tc>
        <w:tc>
          <w:tcPr>
            <w:tcW w:type="dxa" w:w="1644"/>
          </w:tcPr>
          <w:p>
            <w:r>
              <w:t>-0.58</w:t>
            </w:r>
          </w:p>
        </w:tc>
        <w:tc>
          <w:tcPr>
            <w:tcW w:type="dxa" w:w="1644"/>
          </w:tcPr>
          <w:p>
            <w:r>
              <w:t>2.78</w:t>
            </w:r>
          </w:p>
        </w:tc>
        <w:tc>
          <w:tcPr>
            <w:tcW w:type="dxa" w:w="1644"/>
          </w:tcPr>
          <w:p>
            <w:r>
              <w:t>6.17</w:t>
            </w:r>
          </w:p>
        </w:tc>
        <w:tc>
          <w:tcPr>
            <w:tcW w:type="dxa" w:w="1644"/>
          </w:tcPr>
          <w:p>
            <w:r>
              <w:t>4.62</w:t>
            </w:r>
          </w:p>
        </w:tc>
        <w:tc>
          <w:tcPr>
            <w:tcW w:type="dxa" w:w="1644"/>
          </w:tcPr>
          <w:p>
            <w:r>
              <w:t>4.19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VE Global Listed P Private ETF</w:t>
            </w:r>
          </w:p>
        </w:tc>
        <w:tc>
          <w:tcPr>
            <w:tcW w:type="dxa" w:w="1417"/>
          </w:tcPr>
          <w:p>
            <w:r>
              <w:t>12.0</w:t>
            </w:r>
          </w:p>
        </w:tc>
        <w:tc>
          <w:tcPr>
            <w:tcW w:type="dxa" w:w="1417"/>
          </w:tcPr>
          <w:p>
            <w:r>
              <w:t>24.86</w:t>
            </w:r>
          </w:p>
        </w:tc>
      </w:tr>
      <w:tr>
        <w:tc>
          <w:tcPr>
            <w:tcW w:type="dxa" w:w="2268"/>
          </w:tcPr>
          <w:p>
            <w:r>
              <w:t>Talaria GE</w:t>
            </w:r>
          </w:p>
        </w:tc>
        <w:tc>
          <w:tcPr>
            <w:tcW w:type="dxa" w:w="1417"/>
          </w:tcPr>
          <w:p>
            <w:r>
              <w:t>8.11</w:t>
            </w:r>
          </w:p>
        </w:tc>
        <w:tc>
          <w:tcPr>
            <w:tcW w:type="dxa" w:w="1417"/>
          </w:tcPr>
          <w:p>
            <w:r>
              <w:t>6.06</w:t>
            </w:r>
          </w:p>
        </w:tc>
      </w:tr>
      <w:tr>
        <w:tc>
          <w:tcPr>
            <w:tcW w:type="dxa" w:w="2268"/>
          </w:tcPr>
          <w:p>
            <w:r>
              <w:t>P/E FX Alpha</w:t>
            </w:r>
          </w:p>
        </w:tc>
        <w:tc>
          <w:tcPr>
            <w:tcW w:type="dxa" w:w="1417"/>
          </w:tcPr>
          <w:p>
            <w:r>
              <w:t>-6.08</w:t>
            </w:r>
          </w:p>
        </w:tc>
        <w:tc>
          <w:tcPr>
            <w:tcW w:type="dxa" w:w="1417"/>
          </w:tcPr>
          <w:p>
            <w:r>
              <w:t>6.15</w:t>
            </w:r>
          </w:p>
        </w:tc>
      </w:tr>
      <w:tr>
        <w:tc>
          <w:tcPr>
            <w:tcW w:type="dxa" w:w="2268"/>
          </w:tcPr>
          <w:p>
            <w:r>
              <w:t>Invesco Senior Secured</w:t>
            </w:r>
          </w:p>
        </w:tc>
        <w:tc>
          <w:tcPr>
            <w:tcW w:type="dxa" w:w="1417"/>
          </w:tcPr>
          <w:p>
            <w:r>
              <w:t>3.5</w:t>
            </w:r>
          </w:p>
        </w:tc>
        <w:tc>
          <w:tcPr>
            <w:tcW w:type="dxa" w:w="1417"/>
          </w:tcPr>
          <w:p>
            <w:r>
              <w:t>6.26</w:t>
            </w:r>
          </w:p>
        </w:tc>
      </w:tr>
      <w:tr>
        <w:tc>
          <w:tcPr>
            <w:tcW w:type="dxa" w:w="2268"/>
          </w:tcPr>
          <w:p>
            <w:r>
              <w:t>Pyford Global Abs</w:t>
            </w:r>
          </w:p>
        </w:tc>
        <w:tc>
          <w:tcPr>
            <w:tcW w:type="dxa" w:w="1417"/>
          </w:tcPr>
          <w:p>
            <w:r>
              <w:t>9.33</w:t>
            </w:r>
          </w:p>
        </w:tc>
        <w:tc>
          <w:tcPr>
            <w:tcW w:type="dxa" w:w="1417"/>
          </w:tcPr>
          <w:p>
            <w:r>
              <w:t>6.45</w:t>
            </w:r>
          </w:p>
        </w:tc>
      </w:tr>
      <w:tr>
        <w:tc>
          <w:tcPr>
            <w:tcW w:type="dxa" w:w="2268"/>
          </w:tcPr>
          <w:p>
            <w:r>
              <w:t>K2 Athena</w:t>
            </w:r>
          </w:p>
        </w:tc>
        <w:tc>
          <w:tcPr>
            <w:tcW w:type="dxa" w:w="1417"/>
          </w:tcPr>
          <w:p>
            <w:r>
              <w:t>7.01</w:t>
            </w:r>
          </w:p>
        </w:tc>
        <w:tc>
          <w:tcPr>
            <w:tcW w:type="dxa" w:w="1417"/>
          </w:tcPr>
          <w:p>
            <w:r>
              <w:t>5.33</w:t>
            </w:r>
          </w:p>
        </w:tc>
      </w:tr>
      <w:tr>
        <w:tc>
          <w:tcPr>
            <w:tcW w:type="dxa" w:w="2268"/>
          </w:tcPr>
          <w:p>
            <w:r>
              <w:t>iShares Physical Gold</w:t>
            </w:r>
          </w:p>
        </w:tc>
        <w:tc>
          <w:tcPr>
            <w:tcW w:type="dxa" w:w="1417"/>
          </w:tcPr>
          <w:p>
            <w:r>
              <w:t>44.63</w:t>
            </w:r>
          </w:p>
        </w:tc>
        <w:tc>
          <w:tcPr>
            <w:tcW w:type="dxa" w:w="1417"/>
          </w:tcPr>
          <w:p>
            <w:r>
              <w:t>28.13</w:t>
            </w:r>
          </w:p>
        </w:tc>
      </w:tr>
      <w:tr>
        <w:tc>
          <w:tcPr>
            <w:tcW w:type="dxa" w:w="2268"/>
          </w:tcPr>
          <w:p>
            <w:r>
              <w:rPr>
                <w:b/>
              </w:rPr>
              <w:t>BM: Alternatives</w:t>
            </w:r>
          </w:p>
        </w:tc>
        <w:tc>
          <w:tcPr>
            <w:tcW w:type="dxa" w:w="1417"/>
          </w:tcPr>
          <w:p>
            <w:r>
              <w:rPr>
                <w:b/>
              </w:rPr>
              <w:t>4.57</w:t>
            </w:r>
          </w:p>
        </w:tc>
        <w:tc>
          <w:tcPr>
            <w:tcW w:type="dxa" w:w="1417"/>
          </w:tcPr>
          <w:p>
            <w:r>
              <w:rPr>
                <w:b/>
              </w:rPr>
              <w:t>4.46</w:t>
            </w:r>
          </w:p>
        </w:tc>
      </w:tr>
      <w:tr>
        <w:tc>
          <w:tcPr>
            <w:tcW w:type="dxa" w:w="2268"/>
          </w:tcPr>
          <w:p>
            <w:r>
              <w:t>iShares Cash</w:t>
            </w:r>
          </w:p>
        </w:tc>
        <w:tc>
          <w:tcPr>
            <w:tcW w:type="dxa" w:w="1417"/>
          </w:tcPr>
          <w:p>
            <w:r>
              <w:t>4.57</w:t>
            </w:r>
          </w:p>
        </w:tc>
        <w:tc>
          <w:tcPr>
            <w:tcW w:type="dxa" w:w="1417"/>
          </w:tcPr>
          <w:p>
            <w:r>
              <w:t>4.44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