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Alternatives SMA</w:t>
      </w:r>
      <w:r>
        <w:tab/>
      </w:r>
      <w:r>
        <w:t>31 May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AtchisonAlts</w:t>
            </w:r>
          </w:p>
        </w:tc>
        <w:tc>
          <w:tcPr>
            <w:tcW w:type="dxa" w:w="1644"/>
          </w:tcPr>
          <w:p>
            <w:r>
              <w:rPr>
                <w:b/>
              </w:rPr>
              <w:t>0.15</w:t>
            </w:r>
          </w:p>
        </w:tc>
        <w:tc>
          <w:tcPr>
            <w:tcW w:type="dxa" w:w="1644"/>
          </w:tcPr>
          <w:p>
            <w:r>
              <w:rPr>
                <w:b/>
              </w:rPr>
              <w:t>4.3</w:t>
            </w:r>
          </w:p>
        </w:tc>
        <w:tc>
          <w:tcPr>
            <w:tcW w:type="dxa" w:w="1644"/>
          </w:tcPr>
          <w:p>
            <w:r>
              <w:rPr>
                <w:b/>
              </w:rPr>
              <w:t>10.5</w:t>
            </w:r>
          </w:p>
        </w:tc>
        <w:tc>
          <w:tcPr>
            <w:tcW w:type="dxa" w:w="1644"/>
          </w:tcPr>
          <w:p>
            <w:r>
              <w:rPr>
                <w:b/>
              </w:rPr>
              <w:t>9.26</w:t>
            </w:r>
          </w:p>
        </w:tc>
        <w:tc>
          <w:tcPr>
            <w:tcW w:type="dxa" w:w="1644"/>
          </w:tcPr>
          <w:p>
            <w:r>
              <w:rPr>
                <w:b/>
              </w:rPr>
              <w:t>7.93</w:t>
            </w:r>
          </w:p>
        </w:tc>
      </w:tr>
      <w:tr>
        <w:tc>
          <w:tcPr>
            <w:tcW w:type="dxa" w:w="2551"/>
          </w:tcPr>
          <w:p>
            <w:r>
              <w:t>Peer Group</w:t>
            </w:r>
          </w:p>
        </w:tc>
        <w:tc>
          <w:tcPr>
            <w:tcW w:type="dxa" w:w="1644"/>
          </w:tcPr>
          <w:p>
            <w:r>
              <w:t>-0.39</w:t>
            </w:r>
          </w:p>
        </w:tc>
        <w:tc>
          <w:tcPr>
            <w:tcW w:type="dxa" w:w="1644"/>
          </w:tcPr>
          <w:p>
            <w:r>
              <w:t>-0.13</w:t>
            </w:r>
          </w:p>
        </w:tc>
        <w:tc>
          <w:tcPr>
            <w:tcW w:type="dxa" w:w="1644"/>
          </w:tcPr>
          <w:p>
            <w:r>
              <w:t>1.8</w:t>
            </w:r>
          </w:p>
        </w:tc>
        <w:tc>
          <w:tcPr>
            <w:tcW w:type="dxa" w:w="1644"/>
          </w:tcPr>
          <w:p>
            <w:r>
              <w:t>5.22</w:t>
            </w:r>
          </w:p>
        </w:tc>
        <w:tc>
          <w:tcPr>
            <w:tcW w:type="dxa" w:w="1644"/>
          </w:tcPr>
          <w:p>
            <w:r>
              <w:t>5.72</w:t>
            </w:r>
          </w:p>
        </w:tc>
      </w:tr>
      <w:tr>
        <w:tc>
          <w:tcPr>
            <w:tcW w:type="dxa" w:w="2551"/>
          </w:tcPr>
          <w:p>
            <w:r>
              <w:t>Inflation</w:t>
            </w:r>
          </w:p>
        </w:tc>
        <w:tc>
          <w:tcPr>
            <w:tcW w:type="dxa" w:w="1644"/>
          </w:tcPr>
          <w:p>
            <w:r>
              <w:t>1.2</w:t>
            </w:r>
          </w:p>
        </w:tc>
        <w:tc>
          <w:tcPr>
            <w:tcW w:type="dxa" w:w="1644"/>
          </w:tcPr>
          <w:p>
            <w:r>
              <w:t>1.5</w:t>
            </w:r>
          </w:p>
        </w:tc>
        <w:tc>
          <w:tcPr>
            <w:tcW w:type="dxa" w:w="1644"/>
          </w:tcPr>
          <w:p>
            <w:r>
              <w:t>2.21</w:t>
            </w:r>
          </w:p>
        </w:tc>
        <w:tc>
          <w:tcPr>
            <w:tcW w:type="dxa" w:w="1644"/>
          </w:tcPr>
          <w:p>
            <w:r>
              <w:t>3.1</w:t>
            </w:r>
          </w:p>
        </w:tc>
        <w:tc>
          <w:tcPr>
            <w:tcW w:type="dxa" w:w="1644"/>
          </w:tcPr>
          <w:p>
            <w:r>
              <w:t>2.87</w:t>
            </w:r>
          </w:p>
        </w:tc>
      </w:tr>
      <w:tr>
        <w:tc>
          <w:tcPr>
            <w:tcW w:type="dxa" w:w="2551"/>
          </w:tcPr>
          <w:p>
            <w:r>
              <w:t>Outperformance vs Peers</w:t>
            </w:r>
          </w:p>
        </w:tc>
        <w:tc>
          <w:tcPr>
            <w:tcW w:type="dxa" w:w="1644"/>
          </w:tcPr>
          <w:p>
            <w:r>
              <w:t>0.54</w:t>
            </w:r>
          </w:p>
        </w:tc>
        <w:tc>
          <w:tcPr>
            <w:tcW w:type="dxa" w:w="1644"/>
          </w:tcPr>
          <w:p>
            <w:r>
              <w:t>4.43</w:t>
            </w:r>
          </w:p>
        </w:tc>
        <w:tc>
          <w:tcPr>
            <w:tcW w:type="dxa" w:w="1644"/>
          </w:tcPr>
          <w:p>
            <w:r>
              <w:t>8.69</w:t>
            </w:r>
          </w:p>
        </w:tc>
        <w:tc>
          <w:tcPr>
            <w:tcW w:type="dxa" w:w="1644"/>
          </w:tcPr>
          <w:p>
            <w:r>
              <w:t>4.05</w:t>
            </w:r>
          </w:p>
        </w:tc>
        <w:tc>
          <w:tcPr>
            <w:tcW w:type="dxa" w:w="1644"/>
          </w:tcPr>
          <w:p>
            <w:r>
              <w:t>2.21</w:t>
            </w:r>
          </w:p>
        </w:tc>
      </w:tr>
      <w:tr>
        <w:tc>
          <w:tcPr>
            <w:tcW w:type="dxa" w:w="2551"/>
          </w:tcPr>
          <w:p>
            <w:r>
              <w:t>Outperformance vs Inflation</w:t>
            </w:r>
          </w:p>
        </w:tc>
        <w:tc>
          <w:tcPr>
            <w:tcW w:type="dxa" w:w="1644"/>
          </w:tcPr>
          <w:p>
            <w:r>
              <w:t>-1.05</w:t>
            </w:r>
          </w:p>
        </w:tc>
        <w:tc>
          <w:tcPr>
            <w:tcW w:type="dxa" w:w="1644"/>
          </w:tcPr>
          <w:p>
            <w:r>
              <w:t>2.8</w:t>
            </w:r>
          </w:p>
        </w:tc>
        <w:tc>
          <w:tcPr>
            <w:tcW w:type="dxa" w:w="1644"/>
          </w:tcPr>
          <w:p>
            <w:r>
              <w:t>8.29</w:t>
            </w:r>
          </w:p>
        </w:tc>
        <w:tc>
          <w:tcPr>
            <w:tcW w:type="dxa" w:w="1644"/>
          </w:tcPr>
          <w:p>
            <w:r>
              <w:t>6.17</w:t>
            </w:r>
          </w:p>
        </w:tc>
        <w:tc>
          <w:tcPr>
            <w:tcW w:type="dxa" w:w="1644"/>
          </w:tcPr>
          <w:p>
            <w:r>
              <w:t>5.06</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five-year periods.</w:t>
      </w:r>
    </w:p>
    <w:p>
      <w:pPr>
        <w:pStyle w:val="Heading20"/>
      </w:pPr>
      <w:r>
        <w:t>Strategy Overview</w:t>
      </w:r>
    </w:p>
    <w:p>
      <w:pPr>
        <w:pStyle w:val="BodyStyle"/>
      </w:pPr>
      <w:r>
        <w:t>The Atchison Active Alternatives Portfolio offers an all-in-one solution for your alternative asset class exposure. This solution invests across a broad spectrum of liquid alternatives which may include, listed private equity, buy-write, commodities, hedge funds, currency alpha, macro discretionary, venture capital, risk mitigation, distressed and private credit.</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Alternatives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0.79%</w:t>
            </w:r>
          </w:p>
        </w:tc>
      </w:tr>
      <w:tr>
        <w:tc>
          <w:tcPr>
            <w:tcW w:type="dxa" w:w="2268"/>
          </w:tcPr>
          <w:p>
            <w:r>
              <w:t>Underlying Perf Fees</w:t>
            </w:r>
          </w:p>
        </w:tc>
        <w:tc>
          <w:tcPr>
            <w:tcW w:type="dxa" w:w="3118"/>
          </w:tcPr>
          <w:p>
            <w:r>
              <w:t>0.09%</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lts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lts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VE Global Listed P Private ETF</w:t>
            </w:r>
          </w:p>
        </w:tc>
        <w:tc>
          <w:tcPr>
            <w:tcW w:type="dxa" w:w="1417"/>
          </w:tcPr>
          <w:p>
            <w:r>
              <w:t>13.1</w:t>
            </w:r>
          </w:p>
        </w:tc>
        <w:tc>
          <w:tcPr>
            <w:tcW w:type="dxa" w:w="1417"/>
          </w:tcPr>
          <w:p>
            <w:r>
              <w:t>26.27</w:t>
            </w:r>
          </w:p>
        </w:tc>
      </w:tr>
      <w:tr>
        <w:tc>
          <w:tcPr>
            <w:tcW w:type="dxa" w:w="2268"/>
          </w:tcPr>
          <w:p>
            <w:r>
              <w:t>Talaria GE</w:t>
            </w:r>
          </w:p>
        </w:tc>
        <w:tc>
          <w:tcPr>
            <w:tcW w:type="dxa" w:w="1417"/>
          </w:tcPr>
          <w:p>
            <w:r>
              <w:t>10.41</w:t>
            </w:r>
          </w:p>
        </w:tc>
        <w:tc>
          <w:tcPr>
            <w:tcW w:type="dxa" w:w="1417"/>
          </w:tcPr>
          <w:p>
            <w:r>
              <w:t>6.76</w:t>
            </w:r>
          </w:p>
        </w:tc>
      </w:tr>
      <w:tr>
        <w:tc>
          <w:tcPr>
            <w:tcW w:type="dxa" w:w="2268"/>
          </w:tcPr>
          <w:p>
            <w:r>
              <w:t>P/E FX Alpha</w:t>
            </w:r>
          </w:p>
        </w:tc>
        <w:tc>
          <w:tcPr>
            <w:tcW w:type="dxa" w:w="1417"/>
          </w:tcPr>
          <w:p>
            <w:r>
              <w:t>-2.09</w:t>
            </w:r>
          </w:p>
        </w:tc>
        <w:tc>
          <w:tcPr>
            <w:tcW w:type="dxa" w:w="1417"/>
          </w:tcPr>
          <w:p>
            <w:r>
              <w:t>2.32</w:t>
            </w:r>
          </w:p>
        </w:tc>
      </w:tr>
      <w:tr>
        <w:tc>
          <w:tcPr>
            <w:tcW w:type="dxa" w:w="2268"/>
          </w:tcPr>
          <w:p>
            <w:r>
              <w:t>Invesco Senior Secured</w:t>
            </w:r>
          </w:p>
        </w:tc>
        <w:tc>
          <w:tcPr>
            <w:tcW w:type="dxa" w:w="1417"/>
          </w:tcPr>
          <w:p>
            <w:r>
              <w:t>5.13</w:t>
            </w:r>
          </w:p>
        </w:tc>
        <w:tc>
          <w:tcPr>
            <w:tcW w:type="dxa" w:w="1417"/>
          </w:tcPr>
          <w:p>
            <w:r>
              <w:t>7.08</w:t>
            </w:r>
          </w:p>
        </w:tc>
      </w:tr>
      <w:tr>
        <w:tc>
          <w:tcPr>
            <w:tcW w:type="dxa" w:w="2268"/>
          </w:tcPr>
          <w:p>
            <w:r>
              <w:t>Pyford Global Abs</w:t>
            </w:r>
          </w:p>
        </w:tc>
        <w:tc>
          <w:tcPr>
            <w:tcW w:type="dxa" w:w="1417"/>
          </w:tcPr>
          <w:p>
            <w:r>
              <w:t>11.36</w:t>
            </w:r>
          </w:p>
        </w:tc>
        <w:tc>
          <w:tcPr>
            <w:tcW w:type="dxa" w:w="1417"/>
          </w:tcPr>
          <w:p>
            <w:r>
              <w:t>8.24</w:t>
            </w:r>
          </w:p>
        </w:tc>
      </w:tr>
      <w:tr>
        <w:tc>
          <w:tcPr>
            <w:tcW w:type="dxa" w:w="2268"/>
          </w:tcPr>
          <w:p>
            <w:r>
              <w:t>K2 Athena</w:t>
            </w:r>
          </w:p>
        </w:tc>
        <w:tc>
          <w:tcPr>
            <w:tcW w:type="dxa" w:w="1417"/>
          </w:tcPr>
          <w:p>
            <w:r>
              <w:t>4.49</w:t>
            </w:r>
          </w:p>
        </w:tc>
        <w:tc>
          <w:tcPr>
            <w:tcW w:type="dxa" w:w="1417"/>
          </w:tcPr>
          <w:p>
            <w:r>
              <w:t>5.66</w:t>
            </w:r>
          </w:p>
        </w:tc>
      </w:tr>
      <w:tr>
        <w:tc>
          <w:tcPr>
            <w:tcW w:type="dxa" w:w="2268"/>
          </w:tcPr>
          <w:p>
            <w:r>
              <w:t>iShares Physical Gold</w:t>
            </w:r>
          </w:p>
        </w:tc>
        <w:tc>
          <w:tcPr>
            <w:tcW w:type="dxa" w:w="1417"/>
          </w:tcPr>
          <w:p>
            <w:r>
              <w:t>44.82</w:t>
            </w:r>
          </w:p>
        </w:tc>
        <w:tc>
          <w:tcPr>
            <w:tcW w:type="dxa" w:w="1417"/>
          </w:tcPr>
          <w:p>
            <w:r>
              <w:t>27.65</w:t>
            </w:r>
          </w:p>
        </w:tc>
      </w:tr>
      <w:tr>
        <w:tc>
          <w:tcPr>
            <w:tcW w:type="dxa" w:w="2268"/>
          </w:tcPr>
          <w:p>
            <w:r>
              <w:rPr>
                <w:b/>
              </w:rPr>
              <w:t>BM: Alternatives</w:t>
            </w:r>
          </w:p>
        </w:tc>
        <w:tc>
          <w:tcPr>
            <w:tcW w:type="dxa" w:w="1417"/>
          </w:tcPr>
          <w:p>
            <w:r>
              <w:rPr>
                <w:b/>
              </w:rPr>
              <w:t>4.51</w:t>
            </w:r>
          </w:p>
        </w:tc>
        <w:tc>
          <w:tcPr>
            <w:tcW w:type="dxa" w:w="1417"/>
          </w:tcPr>
          <w:p>
            <w:r>
              <w:rPr>
                <w:b/>
              </w:rPr>
              <w:t>4.47</w:t>
            </w:r>
          </w:p>
        </w:tc>
      </w:tr>
      <w:tr>
        <w:tc>
          <w:tcPr>
            <w:tcW w:type="dxa" w:w="2268"/>
          </w:tcPr>
          <w:p>
            <w:r>
              <w:t>iShares Cash</w:t>
            </w:r>
          </w:p>
        </w:tc>
        <w:tc>
          <w:tcPr>
            <w:tcW w:type="dxa" w:w="1417"/>
          </w:tcPr>
          <w:p>
            <w:r>
              <w:t>4.56</w:t>
            </w:r>
          </w:p>
        </w:tc>
        <w:tc>
          <w:tcPr>
            <w:tcW w:type="dxa" w:w="1417"/>
          </w:tcPr>
          <w:p>
            <w:r>
              <w:t>4.46</w:t>
            </w:r>
          </w:p>
        </w:tc>
      </w:tr>
      <w:tr>
        <w:tc>
          <w:tcPr>
            <w:tcW w:type="dxa" w:w="2268"/>
          </w:tcPr>
          <w:p>
            <w:r>
              <w:t>Cash</w:t>
            </w:r>
          </w:p>
        </w:tc>
        <w:tc>
          <w:tcPr>
            <w:tcW w:type="dxa" w:w="1417"/>
          </w:tcPr>
          <w:p>
            <w:r>
              <w:t>4.51</w:t>
            </w:r>
          </w:p>
        </w:tc>
        <w:tc>
          <w:tcPr>
            <w:tcW w:type="dxa" w:w="1417"/>
          </w:tcPr>
          <w:p>
            <w:r>
              <w:t>4.47</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Smaller companies outperformed their broader counterparts, with the Small Ordinaries rising 6%, whilst the ASX 200 advanced 4%&lt;</w:t>
        <w:br/>
        <w:br/>
        <w:t>All sectors within the ASX 200 recorded gains. Information Technology led with a 20% jump, followed by Energy at 9%, while traditionally defensive sectors - Utilities, Consumer Staples, and Health Care lagged.</w:t>
        <w:br/>
        <w:br/>
        <w:t>All Australian factor indices ended the month in positive territory. Momentum, Equal Weight, and Growth factors outpaced others, whereas High Dividend and Value underperformed, echoing sector-level trends.</w:t>
        <w:br/>
        <w:br/>
        <w:t>China’s equity markets posted solid gains in May 2025, supported by tech earnings and fresh monetary easing, including rate and reserve ratio cuts. However, mixed economic data and external pressures, such as weaker U.S. exports, highlight ongoing structural and geopolitical challenges.</w:t>
        <w:br/>
        <w:br/>
        <w:t xml:space="preserve">U.S. equities staged a strong rebound in May, driven by renewed optimism over easing trade tensions. The S&amp;P 500 rose 6%, marking its best May performance since 1990. Solid earnings from major technology firms also propelled the rally. </w:t>
        <w:br/>
        <w:br/>
        <w:t>Most sectors registered gains, led by Information Technology and Communication Services, which rose 11% and 10% respectively. Health Care was the notable underperformer.</w:t>
        <w:br/>
        <w:br/>
        <w:t>Risk appetite continued to improve, with Momentum, High Beta, and Growth factors leading for the second consecutive month, reflecting a continued rotation away from defensiveness.</w:t>
        <w:br/>
        <w:br/>
        <w:t>European equities maintained their positive trajectory, with the European Index gaining approximately 11% year-to-date, outperforming the U.S. market. This performance was supported by easing trade tensions and investor optimism.</w:t>
        <w:br/>
        <w:br/>
        <w:t>In May, the RBA cut rates for the second time this year, and delivered a dovish outlook, but Australian bond yields still rose, driven by global market forces including rising yields in the U.S. and Japan.</w:t>
        <w:br/>
        <w:br/>
        <w:t>U.S. Treasury yields rose sharply following a weak 20-year note auction and persistent fiscal concerns. As a result, the U.S. Treasury Bond Index declined by 1% in May, its first monthly loss of the year.</w:t>
        <w:br/>
        <w:br/>
        <w:t>Within commodities, Energy and Livestock were standout performers. Meanwhile, safe-haven demand for Gold was mixed, leading to slight underperformance in Precious Metals over the month.</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