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AtchisonAusShares</w:t>
            </w:r>
          </w:p>
        </w:tc>
        <w:tc>
          <w:tcPr>
            <w:tcW w:type="dxa" w:w="1644"/>
          </w:tcPr>
          <w:p>
            <w:r>
              <w:rPr>
                <w:b/>
              </w:rPr>
              <w:t>-3.33</w:t>
            </w:r>
          </w:p>
        </w:tc>
        <w:tc>
          <w:tcPr>
            <w:tcW w:type="dxa" w:w="1644"/>
          </w:tcPr>
          <w:p>
            <w:r>
              <w:rPr>
                <w:b/>
              </w:rPr>
              <w:t>1.5</w:t>
            </w:r>
          </w:p>
        </w:tc>
        <w:tc>
          <w:tcPr>
            <w:tcW w:type="dxa" w:w="1644"/>
          </w:tcPr>
          <w:p>
            <w:r>
              <w:rPr>
                <w:b/>
              </w:rPr>
              <w:t>9.12</w:t>
            </w:r>
          </w:p>
        </w:tc>
        <w:tc>
          <w:tcPr>
            <w:tcW w:type="dxa" w:w="1644"/>
          </w:tcPr>
          <w:p>
            <w:r>
              <w:rPr>
                <w:b/>
              </w:rPr>
              <w:t>9.24</w:t>
            </w:r>
          </w:p>
        </w:tc>
        <w:tc>
          <w:tcPr>
            <w:tcW w:type="dxa" w:w="1644"/>
          </w:tcPr>
          <w:p>
            <w:r>
              <w:rPr>
                <w:b/>
              </w:rPr>
              <w:t>10.39</w:t>
            </w:r>
          </w:p>
        </w:tc>
      </w:tr>
      <w:tr>
        <w:tc>
          <w:tcPr>
            <w:tcW w:type="dxa" w:w="2551"/>
          </w:tcPr>
          <w:p>
            <w:r>
              <w:t>Peer Group</w:t>
            </w:r>
          </w:p>
        </w:tc>
        <w:tc>
          <w:tcPr>
            <w:tcW w:type="dxa" w:w="1644"/>
          </w:tcPr>
          <w:p>
            <w:r>
              <w:t>-4.53</w:t>
            </w:r>
          </w:p>
        </w:tc>
        <w:tc>
          <w:tcPr>
            <w:tcW w:type="dxa" w:w="1644"/>
          </w:tcPr>
          <w:p>
            <w:r>
              <w:t>-0.74</w:t>
            </w:r>
          </w:p>
        </w:tc>
        <w:tc>
          <w:tcPr>
            <w:tcW w:type="dxa" w:w="1644"/>
          </w:tcPr>
          <w:p>
            <w:r>
              <w:t>5.68</w:t>
            </w:r>
          </w:p>
        </w:tc>
        <w:tc>
          <w:tcPr>
            <w:tcW w:type="dxa" w:w="1644"/>
          </w:tcPr>
          <w:p>
            <w:r>
              <w:t>6.4</w:t>
            </w:r>
          </w:p>
        </w:tc>
        <w:tc>
          <w:tcPr>
            <w:tcW w:type="dxa" w:w="1644"/>
          </w:tcPr>
          <w:p>
            <w:r>
              <w:t>7.64</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1.2</w:t>
            </w:r>
          </w:p>
        </w:tc>
        <w:tc>
          <w:tcPr>
            <w:tcW w:type="dxa" w:w="1644"/>
          </w:tcPr>
          <w:p>
            <w:r>
              <w:t>2.24</w:t>
            </w:r>
          </w:p>
        </w:tc>
        <w:tc>
          <w:tcPr>
            <w:tcW w:type="dxa" w:w="1644"/>
          </w:tcPr>
          <w:p>
            <w:r>
              <w:t>3.44</w:t>
            </w:r>
          </w:p>
        </w:tc>
        <w:tc>
          <w:tcPr>
            <w:tcW w:type="dxa" w:w="1644"/>
          </w:tcPr>
          <w:p>
            <w:r>
              <w:t>2.84</w:t>
            </w:r>
          </w:p>
        </w:tc>
        <w:tc>
          <w:tcPr>
            <w:tcW w:type="dxa" w:w="1644"/>
          </w:tcPr>
          <w:p>
            <w:r>
              <w:t>2.75</w:t>
            </w:r>
          </w:p>
        </w:tc>
      </w:tr>
      <w:tr>
        <w:tc>
          <w:tcPr>
            <w:tcW w:type="dxa" w:w="2551"/>
          </w:tcPr>
          <w:p>
            <w:r>
              <w:t>Outperformance vs Inflation</w:t>
            </w:r>
          </w:p>
        </w:tc>
        <w:tc>
          <w:tcPr>
            <w:tcW w:type="dxa" w:w="1644"/>
          </w:tcPr>
          <w:p>
            <w:r>
              <w:t>-3.93</w:t>
            </w:r>
          </w:p>
        </w:tc>
        <w:tc>
          <w:tcPr>
            <w:tcW w:type="dxa" w:w="1644"/>
          </w:tcPr>
          <w:p>
            <w:r>
              <w:t>0.28</w:t>
            </w:r>
          </w:p>
        </w:tc>
        <w:tc>
          <w:tcPr>
            <w:tcW w:type="dxa" w:w="1644"/>
          </w:tcPr>
          <w:p>
            <w:r>
              <w:t>5.88</w:t>
            </w:r>
          </w:p>
        </w:tc>
        <w:tc>
          <w:tcPr>
            <w:tcW w:type="dxa" w:w="1644"/>
          </w:tcPr>
          <w:p>
            <w:r>
              <w:t>5.75</w:t>
            </w:r>
          </w:p>
        </w:tc>
        <w:tc>
          <w:tcPr>
            <w:tcW w:type="dxa" w:w="1644"/>
          </w:tcPr>
          <w:p>
            <w:r>
              <w:t>6.76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NAB-AU</w:t>
            </w:r>
          </w:p>
        </w:tc>
        <w:tc>
          <w:tcPr>
            <w:tcW w:type="dxa" w:w="3685"/>
          </w:tcPr>
          <w:p>
            <w:r>
              <w:t>National Australia Bank Limited</w:t>
            </w:r>
          </w:p>
        </w:tc>
      </w:tr>
      <w:tr>
        <w:tc>
          <w:tcPr>
            <w:tcW w:type="dxa" w:w="1417"/>
          </w:tcPr>
          <w:p>
            <w:r>
              <w:t>QBE-AU</w:t>
            </w:r>
          </w:p>
        </w:tc>
        <w:tc>
          <w:tcPr>
            <w:tcW w:type="dxa" w:w="3685"/>
          </w:tcPr>
          <w:p>
            <w:r>
              <w:t>QBE Insurance Group Limited</w:t>
            </w:r>
          </w:p>
        </w:tc>
      </w:tr>
      <w:tr>
        <w:tc>
          <w:tcPr>
            <w:tcW w:type="dxa" w:w="1417"/>
          </w:tcPr>
          <w:p>
            <w:r>
              <w:t>WDS-AU</w:t>
            </w:r>
          </w:p>
        </w:tc>
        <w:tc>
          <w:tcPr>
            <w:tcW w:type="dxa" w:w="3685"/>
          </w:tcPr>
          <w:p>
            <w:r>
              <w:t>Woodside Energy Group Ltd</w:t>
            </w:r>
          </w:p>
        </w:tc>
      </w:tr>
      <w:tr>
        <w:tc>
          <w:tcPr>
            <w:tcW w:type="dxa" w:w="1417"/>
          </w:tcPr>
          <w:p>
            <w:r>
              <w:t>STO-AU</w:t>
            </w:r>
          </w:p>
        </w:tc>
        <w:tc>
          <w:tcPr>
            <w:tcW w:type="dxa" w:w="3685"/>
          </w:tcPr>
          <w:p>
            <w:r>
              <w:t>Santos Limited</w:t>
            </w:r>
          </w:p>
        </w:tc>
      </w:tr>
      <w:tr>
        <w:tc>
          <w:tcPr>
            <w:tcW w:type="dxa" w:w="1417"/>
          </w:tcPr>
          <w:p>
            <w:r>
              <w:t>COL-AU</w:t>
            </w:r>
          </w:p>
        </w:tc>
        <w:tc>
          <w:tcPr>
            <w:tcW w:type="dxa" w:w="3685"/>
          </w:tcPr>
          <w:p>
            <w:r>
              <w:t>Coles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9.67</w:t>
            </w:r>
          </w:p>
        </w:tc>
        <w:tc>
          <w:tcPr>
            <w:tcW w:type="dxa" w:w="1417"/>
          </w:tcPr>
          <w:p>
            <w:r>
              <w:t>9.3</w:t>
            </w:r>
          </w:p>
        </w:tc>
      </w:tr>
      <w:tr>
        <w:tc>
          <w:tcPr>
            <w:tcW w:type="dxa" w:w="2268"/>
          </w:tcPr>
          <w:p>
            <w:r>
              <w:t>Merlon Conentated AusEq</w:t>
            </w:r>
          </w:p>
        </w:tc>
        <w:tc>
          <w:tcPr>
            <w:tcW w:type="dxa" w:w="1417"/>
          </w:tcPr>
          <w:p>
            <w:r>
              <w:t>6.28</w:t>
            </w:r>
          </w:p>
        </w:tc>
        <w:tc>
          <w:tcPr>
            <w:tcW w:type="dxa" w:w="1417"/>
          </w:tcPr>
          <w:p>
            <w:r>
              <w:t>9.59</w:t>
            </w:r>
          </w:p>
        </w:tc>
      </w:tr>
      <w:tr>
        <w:tc>
          <w:tcPr>
            <w:tcW w:type="dxa" w:w="2268"/>
          </w:tcPr>
          <w:p>
            <w:r>
              <w:t>Ausbil Aus Small</w:t>
            </w:r>
          </w:p>
        </w:tc>
        <w:tc>
          <w:tcPr>
            <w:tcW w:type="dxa" w:w="1417"/>
          </w:tcPr>
          <w:p>
            <w:r>
              <w:t>18.32</w:t>
            </w:r>
          </w:p>
        </w:tc>
        <w:tc>
          <w:tcPr>
            <w:tcW w:type="dxa" w:w="1417"/>
          </w:tcPr>
          <w:p>
            <w:r>
              <w:t>18.87</w:t>
            </w:r>
          </w:p>
        </w:tc>
      </w:tr>
      <w:tr>
        <w:tc>
          <w:tcPr>
            <w:tcW w:type="dxa" w:w="2268"/>
          </w:tcPr>
          <w:p>
            <w:r>
              <w:t>Invesco Aus Small</w:t>
            </w:r>
          </w:p>
        </w:tc>
        <w:tc>
          <w:tcPr>
            <w:tcW w:type="dxa" w:w="1417"/>
          </w:tcPr>
          <w:p>
            <w:r>
              <w:t>5.62</w:t>
            </w:r>
          </w:p>
        </w:tc>
        <w:tc>
          <w:tcPr>
            <w:tcW w:type="dxa" w:w="1417"/>
          </w:tcPr>
          <w:p>
            <w:r>
              <w:t>8.81</w:t>
            </w:r>
          </w:p>
        </w:tc>
      </w:tr>
      <w:tr>
        <w:tc>
          <w:tcPr>
            <w:tcW w:type="dxa" w:w="2268"/>
          </w:tcPr>
          <w:p>
            <w:r>
              <w:t>Greencape High Convic</w:t>
            </w:r>
          </w:p>
        </w:tc>
        <w:tc>
          <w:tcPr>
            <w:tcW w:type="dxa" w:w="1417"/>
          </w:tcPr>
          <w:p>
            <w:r>
              <w:t>6.88</w:t>
            </w:r>
          </w:p>
        </w:tc>
        <w:tc>
          <w:tcPr>
            <w:tcW w:type="dxa" w:w="1417"/>
          </w:tcPr>
          <w:p>
            <w:r>
              <w:t>9.15</w:t>
            </w:r>
          </w:p>
        </w:tc>
      </w:tr>
      <w:tr>
        <w:tc>
          <w:tcPr>
            <w:tcW w:type="dxa" w:w="2268"/>
          </w:tcPr>
          <w:p>
            <w:r>
              <w:t>Hyperion Aus Growth</w:t>
            </w:r>
          </w:p>
        </w:tc>
        <w:tc>
          <w:tcPr>
            <w:tcW w:type="dxa" w:w="1417"/>
          </w:tcPr>
          <w:p>
            <w:r>
              <w:t>7.34</w:t>
            </w:r>
          </w:p>
        </w:tc>
        <w:tc>
          <w:tcPr>
            <w:tcW w:type="dxa" w:w="1417"/>
          </w:tcPr>
          <w:p>
            <w:r>
              <w:t>11.55</w:t>
            </w:r>
          </w:p>
        </w:tc>
      </w:tr>
      <w:tr>
        <w:tc>
          <w:tcPr>
            <w:tcW w:type="dxa" w:w="2268"/>
          </w:tcPr>
          <w:p>
            <w:r>
              <w:t>Invesco WS Aus Share</w:t>
            </w:r>
          </w:p>
        </w:tc>
        <w:tc>
          <w:tcPr>
            <w:tcW w:type="dxa" w:w="1417"/>
          </w:tcPr>
          <w:p>
            <w:r>
              <w:t>9.66</w:t>
            </w:r>
          </w:p>
        </w:tc>
        <w:tc>
          <w:tcPr>
            <w:tcW w:type="dxa" w:w="1417"/>
          </w:tcPr>
          <w:p>
            <w:r>
              <w:t>10.59</w:t>
            </w:r>
          </w:p>
        </w:tc>
      </w:tr>
      <w:tr>
        <w:tc>
          <w:tcPr>
            <w:tcW w:type="dxa" w:w="2268"/>
          </w:tcPr>
          <w:p>
            <w:r>
              <w:rPr>
                <w:b/>
              </w:rPr>
              <w:t>BM: Australian Shares</w:t>
            </w:r>
          </w:p>
        </w:tc>
        <w:tc>
          <w:tcPr>
            <w:tcW w:type="dxa" w:w="1417"/>
          </w:tcPr>
          <w:p>
            <w:r>
              <w:rPr>
                <w:b/>
              </w:rPr>
              <w:t>9.67</w:t>
            </w:r>
          </w:p>
        </w:tc>
        <w:tc>
          <w:tcPr>
            <w:tcW w:type="dxa" w:w="1417"/>
          </w:tcPr>
          <w:p>
            <w:r>
              <w:rPr>
                <w:b/>
              </w:rPr>
              <w:t>9.3</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