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Australian Shares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AtchisonAusShares</w:t>
            </w:r>
          </w:p>
        </w:tc>
        <w:tc>
          <w:tcPr>
            <w:tcW w:type="dxa" w:w="1644"/>
          </w:tcPr>
          <w:p>
            <w:r>
              <w:rPr>
                <w:b/>
              </w:rPr>
              <w:t>7.7</w:t>
            </w:r>
          </w:p>
        </w:tc>
        <w:tc>
          <w:tcPr>
            <w:tcW w:type="dxa" w:w="1644"/>
          </w:tcPr>
          <w:p>
            <w:r>
              <w:rPr>
                <w:b/>
              </w:rPr>
              <w:t>12.91</w:t>
            </w:r>
          </w:p>
        </w:tc>
        <w:tc>
          <w:tcPr>
            <w:tcW w:type="dxa" w:w="1644"/>
          </w:tcPr>
          <w:p>
            <w:r>
              <w:rPr>
                <w:b/>
              </w:rPr>
              <w:t>17.06</w:t>
            </w:r>
          </w:p>
        </w:tc>
        <w:tc>
          <w:tcPr>
            <w:tcW w:type="dxa" w:w="1644"/>
          </w:tcPr>
          <w:p>
            <w:r>
              <w:rPr>
                <w:b/>
              </w:rPr>
              <w:t>15.4</w:t>
            </w:r>
          </w:p>
        </w:tc>
        <w:tc>
          <w:tcPr>
            <w:tcW w:type="dxa" w:w="1644"/>
          </w:tcPr>
          <w:p>
            <w:r>
              <w:rPr>
                <w:b/>
              </w:rPr>
              <w:t>14.18</w:t>
            </w:r>
          </w:p>
        </w:tc>
      </w:tr>
      <w:tr>
        <w:tc>
          <w:tcPr>
            <w:tcW w:type="dxa" w:w="2551"/>
          </w:tcPr>
          <w:p>
            <w:r>
              <w:t>Peer Group</w:t>
            </w:r>
          </w:p>
        </w:tc>
        <w:tc>
          <w:tcPr>
            <w:tcW w:type="dxa" w:w="1644"/>
          </w:tcPr>
          <w:p>
            <w:r>
              <w:t>6.22</w:t>
            </w:r>
          </w:p>
        </w:tc>
        <w:tc>
          <w:tcPr>
            <w:tcW w:type="dxa" w:w="1644"/>
          </w:tcPr>
          <w:p>
            <w:r>
              <w:t>9.21</w:t>
            </w:r>
          </w:p>
        </w:tc>
        <w:tc>
          <w:tcPr>
            <w:tcW w:type="dxa" w:w="1644"/>
          </w:tcPr>
          <w:p>
            <w:r>
              <w:t>11.28</w:t>
            </w:r>
          </w:p>
        </w:tc>
        <w:tc>
          <w:tcPr>
            <w:tcW w:type="dxa" w:w="1644"/>
          </w:tcPr>
          <w:p>
            <w:r>
              <w:t>11.39</w:t>
            </w:r>
          </w:p>
        </w:tc>
        <w:tc>
          <w:tcPr>
            <w:tcW w:type="dxa" w:w="1644"/>
          </w:tcPr>
          <w:p>
            <w:r>
              <w:t>10.73</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1.48</w:t>
            </w:r>
          </w:p>
        </w:tc>
        <w:tc>
          <w:tcPr>
            <w:tcW w:type="dxa" w:w="1644"/>
          </w:tcPr>
          <w:p>
            <w:r>
              <w:t>3.69</w:t>
            </w:r>
          </w:p>
        </w:tc>
        <w:tc>
          <w:tcPr>
            <w:tcW w:type="dxa" w:w="1644"/>
          </w:tcPr>
          <w:p>
            <w:r>
              <w:t>5.77</w:t>
            </w:r>
          </w:p>
        </w:tc>
        <w:tc>
          <w:tcPr>
            <w:tcW w:type="dxa" w:w="1644"/>
          </w:tcPr>
          <w:p>
            <w:r>
              <w:t>4.01</w:t>
            </w:r>
          </w:p>
        </w:tc>
        <w:tc>
          <w:tcPr>
            <w:tcW w:type="dxa" w:w="1644"/>
          </w:tcPr>
          <w:p>
            <w:r>
              <w:t>3.45</w:t>
            </w:r>
          </w:p>
        </w:tc>
      </w:tr>
      <w:tr>
        <w:tc>
          <w:tcPr>
            <w:tcW w:type="dxa" w:w="2551"/>
          </w:tcPr>
          <w:p>
            <w:r>
              <w:t>Outperformance vs Inflation</w:t>
            </w:r>
          </w:p>
        </w:tc>
        <w:tc>
          <w:tcPr>
            <w:tcW w:type="dxa" w:w="1644"/>
          </w:tcPr>
          <w:p>
            <w:r>
              <w:t>8.09</w:t>
            </w:r>
          </w:p>
        </w:tc>
        <w:tc>
          <w:tcPr>
            <w:tcW w:type="dxa" w:w="1644"/>
          </w:tcPr>
          <w:p>
            <w:r>
              <w:t>12.17</w:t>
            </w:r>
          </w:p>
        </w:tc>
        <w:tc>
          <w:tcPr>
            <w:tcW w:type="dxa" w:w="1644"/>
          </w:tcPr>
          <w:p>
            <w:r>
              <w:t>15.16</w:t>
            </w:r>
          </w:p>
        </w:tc>
        <w:tc>
          <w:tcPr>
            <w:tcW w:type="dxa" w:w="1644"/>
          </w:tcPr>
          <w:p>
            <w:r>
              <w:t>13.12</w:t>
            </w:r>
          </w:p>
        </w:tc>
        <w:tc>
          <w:tcPr>
            <w:tcW w:type="dxa" w:w="1644"/>
          </w:tcPr>
          <w:p>
            <w:r>
              <w:t>11.76</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Australia Peer Index, after underlying manager fees and before tax, over rolling five-year periods.</w:t>
      </w:r>
    </w:p>
    <w:p>
      <w:pPr>
        <w:pStyle w:val="Heading20"/>
      </w:pPr>
      <w:r>
        <w:t>Strategy Overview</w:t>
      </w:r>
    </w:p>
    <w:p>
      <w:pPr>
        <w:pStyle w:val="BodyStyle"/>
      </w:pPr>
      <w:r>
        <w:t>The Atchison Active Australian Shares Portfolio offers an all-in-one solution for your Australian shares, investing across different fund managers, low-cost ETF’s, investment styles, factors and sectors. The portfolio is continuously reviewed and adjusted to remain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12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WBC-AU</w:t>
            </w:r>
          </w:p>
        </w:tc>
        <w:tc>
          <w:tcPr>
            <w:tcW w:type="dxa" w:w="3685"/>
          </w:tcPr>
          <w:p>
            <w:r>
              <w:t>Westpac Banking Corporation</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QBE-AU</w:t>
            </w:r>
          </w:p>
        </w:tc>
        <w:tc>
          <w:tcPr>
            <w:tcW w:type="dxa" w:w="3685"/>
          </w:tcPr>
          <w:p>
            <w:r>
              <w:t>QBE Insurance Group Limited</w:t>
            </w:r>
          </w:p>
        </w:tc>
      </w:tr>
      <w:tr>
        <w:tc>
          <w:tcPr>
            <w:tcW w:type="dxa" w:w="1417"/>
          </w:tcPr>
          <w:p>
            <w:r>
              <w:t>WDS-AU</w:t>
            </w:r>
          </w:p>
        </w:tc>
        <w:tc>
          <w:tcPr>
            <w:tcW w:type="dxa" w:w="3685"/>
          </w:tcPr>
          <w:p>
            <w:r>
              <w:t>Woodside Energy Group Ltd</w:t>
            </w:r>
          </w:p>
        </w:tc>
      </w:tr>
      <w:tr>
        <w:tc>
          <w:tcPr>
            <w:tcW w:type="dxa" w:w="1417"/>
          </w:tcPr>
          <w:p>
            <w:r>
              <w:t>STO-AU</w:t>
            </w:r>
          </w:p>
        </w:tc>
        <w:tc>
          <w:tcPr>
            <w:tcW w:type="dxa" w:w="3685"/>
          </w:tcPr>
          <w:p>
            <w:r>
              <w:t>Santos Limited</w:t>
            </w:r>
          </w:p>
        </w:tc>
      </w:tr>
      <w:tr>
        <w:tc>
          <w:tcPr>
            <w:tcW w:type="dxa" w:w="1417"/>
          </w:tcPr>
          <w:p>
            <w:r>
              <w:t>COL-AU</w:t>
            </w:r>
          </w:p>
        </w:tc>
        <w:tc>
          <w:tcPr>
            <w:tcW w:type="dxa" w:w="3685"/>
          </w:tcPr>
          <w:p>
            <w:r>
              <w:t>Coles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us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us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t>Merlon Conentated AusEq</w:t>
            </w:r>
          </w:p>
        </w:tc>
        <w:tc>
          <w:tcPr>
            <w:tcW w:type="dxa" w:w="1417"/>
          </w:tcPr>
          <w:p>
            <w:r>
              <w:t>13.17</w:t>
            </w:r>
          </w:p>
        </w:tc>
        <w:tc>
          <w:tcPr>
            <w:tcW w:type="dxa" w:w="1417"/>
          </w:tcPr>
          <w:p>
            <w:r>
              <w:t>12.46</w:t>
            </w:r>
          </w:p>
        </w:tc>
      </w:tr>
      <w:tr>
        <w:tc>
          <w:tcPr>
            <w:tcW w:type="dxa" w:w="2268"/>
          </w:tcPr>
          <w:p>
            <w:r>
              <w:t>Ausbil Aus Small</w:t>
            </w:r>
          </w:p>
        </w:tc>
        <w:tc>
          <w:tcPr>
            <w:tcW w:type="dxa" w:w="1417"/>
          </w:tcPr>
          <w:p>
            <w:r>
              <w:t>43.63</w:t>
            </w:r>
          </w:p>
        </w:tc>
        <w:tc>
          <w:tcPr>
            <w:tcW w:type="dxa" w:w="1417"/>
          </w:tcPr>
          <w:p>
            <w:r>
              <w:t>34.48</w:t>
            </w:r>
          </w:p>
        </w:tc>
      </w:tr>
      <w:tr>
        <w:tc>
          <w:tcPr>
            <w:tcW w:type="dxa" w:w="2268"/>
          </w:tcPr>
          <w:p>
            <w:r>
              <w:t>Invesco Aus Small</w:t>
            </w:r>
          </w:p>
        </w:tc>
        <w:tc>
          <w:tcPr>
            <w:tcW w:type="dxa" w:w="1417"/>
          </w:tcPr>
          <w:p>
            <w:r>
              <w:t>21.67</w:t>
            </w:r>
          </w:p>
        </w:tc>
        <w:tc>
          <w:tcPr>
            <w:tcW w:type="dxa" w:w="1417"/>
          </w:tcPr>
          <w:p>
            <w:r>
              <w:t>17.83</w:t>
            </w:r>
          </w:p>
        </w:tc>
      </w:tr>
      <w:tr>
        <w:tc>
          <w:tcPr>
            <w:tcW w:type="dxa" w:w="2268"/>
          </w:tcPr>
          <w:p>
            <w:r>
              <w:t>Greencape High Convic</w:t>
            </w:r>
          </w:p>
        </w:tc>
        <w:tc>
          <w:tcPr>
            <w:tcW w:type="dxa" w:w="1417"/>
          </w:tcPr>
          <w:p>
            <w:r>
              <w:t>6.37</w:t>
            </w:r>
          </w:p>
        </w:tc>
        <w:tc>
          <w:tcPr>
            <w:tcW w:type="dxa" w:w="1417"/>
          </w:tcPr>
          <w:p>
            <w:r>
              <w:t>11.2</w:t>
            </w:r>
          </w:p>
        </w:tc>
      </w:tr>
      <w:tr>
        <w:tc>
          <w:tcPr>
            <w:tcW w:type="dxa" w:w="2268"/>
          </w:tcPr>
          <w:p>
            <w:r>
              <w:t>Hyperion Aus Growth</w:t>
            </w:r>
          </w:p>
        </w:tc>
        <w:tc>
          <w:tcPr>
            <w:tcW w:type="dxa" w:w="1417"/>
          </w:tcPr>
          <w:p>
            <w:r>
              <w:t>8.04</w:t>
            </w:r>
          </w:p>
        </w:tc>
        <w:tc>
          <w:tcPr>
            <w:tcW w:type="dxa" w:w="1417"/>
          </w:tcPr>
          <w:p>
            <w:r>
              <w:t>16.81</w:t>
            </w:r>
          </w:p>
        </w:tc>
      </w:tr>
      <w:tr>
        <w:tc>
          <w:tcPr>
            <w:tcW w:type="dxa" w:w="2268"/>
          </w:tcPr>
          <w:p>
            <w:r>
              <w:t>Invesco WS Aus Share</w:t>
            </w:r>
          </w:p>
        </w:tc>
        <w:tc>
          <w:tcPr>
            <w:tcW w:type="dxa" w:w="1417"/>
          </w:tcPr>
          <w:p>
            <w:r>
              <w:t>15.28</w:t>
            </w:r>
          </w:p>
        </w:tc>
        <w:tc>
          <w:tcPr>
            <w:tcW w:type="dxa" w:w="1417"/>
          </w:tcPr>
          <w:p>
            <w:r>
              <w:t>15.95</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