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AtchisonAusShares</w:t>
            </w:r>
          </w:p>
        </w:tc>
        <w:tc>
          <w:tcPr>
            <w:tcW w:type="dxa" w:w="1644"/>
          </w:tcPr>
          <w:p>
            <w:r>
              <w:rPr>
                <w:b/>
              </w:rPr>
              <w:t>9.77</w:t>
            </w:r>
          </w:p>
        </w:tc>
        <w:tc>
          <w:tcPr>
            <w:tcW w:type="dxa" w:w="1644"/>
          </w:tcPr>
          <w:p>
            <w:r>
              <w:rPr>
                <w:b/>
              </w:rPr>
              <w:t>7.02</w:t>
            </w:r>
          </w:p>
        </w:tc>
        <w:tc>
          <w:tcPr>
            <w:tcW w:type="dxa" w:w="1644"/>
          </w:tcPr>
          <w:p>
            <w:r>
              <w:rPr>
                <w:b/>
              </w:rPr>
              <w:t>14.39</w:t>
            </w:r>
          </w:p>
        </w:tc>
        <w:tc>
          <w:tcPr>
            <w:tcW w:type="dxa" w:w="1644"/>
          </w:tcPr>
          <w:p>
            <w:r>
              <w:rPr>
                <w:b/>
              </w:rPr>
              <w:t>12.92</w:t>
            </w:r>
          </w:p>
        </w:tc>
        <w:tc>
          <w:tcPr>
            <w:tcW w:type="dxa" w:w="1644"/>
          </w:tcPr>
          <w:p>
            <w:r>
              <w:rPr>
                <w:b/>
              </w:rPr>
              <w:t>12.29</w:t>
            </w:r>
          </w:p>
        </w:tc>
      </w:tr>
      <w:tr>
        <w:tc>
          <w:tcPr>
            <w:tcW w:type="dxa" w:w="2551"/>
          </w:tcPr>
          <w:p>
            <w:r>
              <w:t>Peer Group</w:t>
            </w:r>
          </w:p>
        </w:tc>
        <w:tc>
          <w:tcPr>
            <w:tcW w:type="dxa" w:w="1644"/>
          </w:tcPr>
          <w:p>
            <w:r>
              <w:t>7.93</w:t>
            </w:r>
          </w:p>
        </w:tc>
        <w:tc>
          <w:tcPr>
            <w:tcW w:type="dxa" w:w="1644"/>
          </w:tcPr>
          <w:p>
            <w:r>
              <w:t>4.3</w:t>
            </w:r>
          </w:p>
        </w:tc>
        <w:tc>
          <w:tcPr>
            <w:tcW w:type="dxa" w:w="1644"/>
          </w:tcPr>
          <w:p>
            <w:r>
              <w:t>10.24</w:t>
            </w:r>
          </w:p>
        </w:tc>
        <w:tc>
          <w:tcPr>
            <w:tcW w:type="dxa" w:w="1644"/>
          </w:tcPr>
          <w:p>
            <w:r>
              <w:t>9.69</w:t>
            </w:r>
          </w:p>
        </w:tc>
        <w:tc>
          <w:tcPr>
            <w:tcW w:type="dxa" w:w="1644"/>
          </w:tcPr>
          <w:p>
            <w:r>
              <w:t>9.34</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1.84</w:t>
            </w:r>
          </w:p>
        </w:tc>
        <w:tc>
          <w:tcPr>
            <w:tcW w:type="dxa" w:w="1644"/>
          </w:tcPr>
          <w:p>
            <w:r>
              <w:t>2.72</w:t>
            </w:r>
          </w:p>
        </w:tc>
        <w:tc>
          <w:tcPr>
            <w:tcW w:type="dxa" w:w="1644"/>
          </w:tcPr>
          <w:p>
            <w:r>
              <w:t>4.15</w:t>
            </w:r>
          </w:p>
        </w:tc>
        <w:tc>
          <w:tcPr>
            <w:tcW w:type="dxa" w:w="1644"/>
          </w:tcPr>
          <w:p>
            <w:r>
              <w:t>3.23</w:t>
            </w:r>
          </w:p>
        </w:tc>
        <w:tc>
          <w:tcPr>
            <w:tcW w:type="dxa" w:w="1644"/>
          </w:tcPr>
          <w:p>
            <w:r>
              <w:t>2.95</w:t>
            </w:r>
          </w:p>
        </w:tc>
      </w:tr>
      <w:tr>
        <w:tc>
          <w:tcPr>
            <w:tcW w:type="dxa" w:w="2551"/>
          </w:tcPr>
          <w:p>
            <w:r>
              <w:t>Outperformance vs Inflation</w:t>
            </w:r>
          </w:p>
        </w:tc>
        <w:tc>
          <w:tcPr>
            <w:tcW w:type="dxa" w:w="1644"/>
          </w:tcPr>
          <w:p>
            <w:r>
              <w:t>8.43</w:t>
            </w:r>
          </w:p>
        </w:tc>
        <w:tc>
          <w:tcPr>
            <w:tcW w:type="dxa" w:w="1644"/>
          </w:tcPr>
          <w:p>
            <w:r>
              <w:t>5.57</w:t>
            </w:r>
          </w:p>
        </w:tc>
        <w:tc>
          <w:tcPr>
            <w:tcW w:type="dxa" w:w="1644"/>
          </w:tcPr>
          <w:p>
            <w:r>
              <w:t>12.29</w:t>
            </w:r>
          </w:p>
        </w:tc>
        <w:tc>
          <w:tcPr>
            <w:tcW w:type="dxa" w:w="1644"/>
          </w:tcPr>
          <w:p>
            <w:r>
              <w:t>9.98</w:t>
            </w:r>
          </w:p>
        </w:tc>
        <w:tc>
          <w:tcPr>
            <w:tcW w:type="dxa" w:w="1644"/>
          </w:tcPr>
          <w:p>
            <w:r>
              <w:t>9.37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12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QBE-AU</w:t>
            </w:r>
          </w:p>
        </w:tc>
        <w:tc>
          <w:tcPr>
            <w:tcW w:type="dxa" w:w="3685"/>
          </w:tcPr>
          <w:p>
            <w:r>
              <w:t>QBE Insurance Group Limited</w:t>
            </w:r>
          </w:p>
        </w:tc>
      </w:tr>
      <w:tr>
        <w:tc>
          <w:tcPr>
            <w:tcW w:type="dxa" w:w="1417"/>
          </w:tcPr>
          <w:p>
            <w:r>
              <w:t>WDS-AU</w:t>
            </w:r>
          </w:p>
        </w:tc>
        <w:tc>
          <w:tcPr>
            <w:tcW w:type="dxa" w:w="3685"/>
          </w:tcPr>
          <w:p>
            <w:r>
              <w:t>Woodside Energy Group Ltd</w:t>
            </w:r>
          </w:p>
        </w:tc>
      </w:tr>
      <w:tr>
        <w:tc>
          <w:tcPr>
            <w:tcW w:type="dxa" w:w="1417"/>
          </w:tcPr>
          <w:p>
            <w:r>
              <w:t>STO-AU</w:t>
            </w:r>
          </w:p>
        </w:tc>
        <w:tc>
          <w:tcPr>
            <w:tcW w:type="dxa" w:w="3685"/>
          </w:tcPr>
          <w:p>
            <w:r>
              <w:t>Santos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t>Merlon Conentated AusEq</w:t>
            </w:r>
          </w:p>
        </w:tc>
        <w:tc>
          <w:tcPr>
            <w:tcW w:type="dxa" w:w="1417"/>
          </w:tcPr>
          <w:p>
            <w:r>
              <w:t>9.01</w:t>
            </w:r>
          </w:p>
        </w:tc>
        <w:tc>
          <w:tcPr>
            <w:tcW w:type="dxa" w:w="1417"/>
          </w:tcPr>
          <w:p>
            <w:r>
              <w:t>9.76</w:t>
            </w:r>
          </w:p>
        </w:tc>
      </w:tr>
      <w:tr>
        <w:tc>
          <w:tcPr>
            <w:tcW w:type="dxa" w:w="2268"/>
          </w:tcPr>
          <w:p>
            <w:r>
              <w:t>Ausbil Aus Small</w:t>
            </w:r>
          </w:p>
        </w:tc>
        <w:tc>
          <w:tcPr>
            <w:tcW w:type="dxa" w:w="1417"/>
          </w:tcPr>
          <w:p>
            <w:r>
              <w:t>28.63</w:t>
            </w:r>
          </w:p>
        </w:tc>
        <w:tc>
          <w:tcPr>
            <w:tcW w:type="dxa" w:w="1417"/>
          </w:tcPr>
          <w:p>
            <w:r>
              <w:t>27.13</w:t>
            </w:r>
          </w:p>
        </w:tc>
      </w:tr>
      <w:tr>
        <w:tc>
          <w:tcPr>
            <w:tcW w:type="dxa" w:w="2268"/>
          </w:tcPr>
          <w:p>
            <w:r>
              <w:t>Invesco Aus Small</w:t>
            </w:r>
          </w:p>
        </w:tc>
        <w:tc>
          <w:tcPr>
            <w:tcW w:type="dxa" w:w="1417"/>
          </w:tcPr>
          <w:p>
            <w:r>
              <w:t>14.77</w:t>
            </w:r>
          </w:p>
        </w:tc>
        <w:tc>
          <w:tcPr>
            <w:tcW w:type="dxa" w:w="1417"/>
          </w:tcPr>
          <w:p>
            <w:r>
              <w:t>14.57</w:t>
            </w:r>
          </w:p>
        </w:tc>
      </w:tr>
      <w:tr>
        <w:tc>
          <w:tcPr>
            <w:tcW w:type="dxa" w:w="2268"/>
          </w:tcPr>
          <w:p>
            <w:r>
              <w:t>Greencape High Convic</w:t>
            </w:r>
          </w:p>
        </w:tc>
        <w:tc>
          <w:tcPr>
            <w:tcW w:type="dxa" w:w="1417"/>
          </w:tcPr>
          <w:p>
            <w:r>
              <w:t>7.97</w:t>
            </w:r>
          </w:p>
        </w:tc>
        <w:tc>
          <w:tcPr>
            <w:tcW w:type="dxa" w:w="1417"/>
          </w:tcPr>
          <w:p>
            <w:r>
              <w:t>10.54</w:t>
            </w:r>
          </w:p>
        </w:tc>
      </w:tr>
      <w:tr>
        <w:tc>
          <w:tcPr>
            <w:tcW w:type="dxa" w:w="2268"/>
          </w:tcPr>
          <w:p>
            <w:r>
              <w:t>Hyperion Aus Growth</w:t>
            </w:r>
          </w:p>
        </w:tc>
        <w:tc>
          <w:tcPr>
            <w:tcW w:type="dxa" w:w="1417"/>
          </w:tcPr>
          <w:p>
            <w:r>
              <w:t>15.63</w:t>
            </w:r>
          </w:p>
        </w:tc>
        <w:tc>
          <w:tcPr>
            <w:tcW w:type="dxa" w:w="1417"/>
          </w:tcPr>
          <w:p>
            <w:r>
              <w:t>16.53</w:t>
            </w:r>
          </w:p>
        </w:tc>
      </w:tr>
      <w:tr>
        <w:tc>
          <w:tcPr>
            <w:tcW w:type="dxa" w:w="2268"/>
          </w:tcPr>
          <w:p>
            <w:r>
              <w:t>Invesco WS Aus Share</w:t>
            </w:r>
          </w:p>
        </w:tc>
        <w:tc>
          <w:tcPr>
            <w:tcW w:type="dxa" w:w="1417"/>
          </w:tcPr>
          <w:p>
            <w:r>
              <w:t>15.86</w:t>
            </w:r>
          </w:p>
        </w:tc>
        <w:tc>
          <w:tcPr>
            <w:tcW w:type="dxa" w:w="1417"/>
          </w:tcPr>
          <w:p>
            <w:r>
              <w:t>15.11</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