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Direct - Australian Shares 20 Equal Weight</w:t>
      </w:r>
      <w:r>
        <w:tab/>
      </w:r>
      <w:r>
        <w:t>30 September 2025</w:t>
      </w:r>
    </w:p>
    <w:tbl>
      <w:tblPr>
        <w:tblStyle w:val="AtchisonTable1"/>
        <w:tblW w:type="auto" w:w="0"/>
        <w:tblLook w:firstColumn="1" w:firstRow="1" w:lastColumn="0" w:lastRow="0" w:noHBand="0" w:noVBand="1" w:val="04A0"/>
      </w:tblPr>
      <w:tblGrid>
        <w:gridCol w:w="1579"/>
        <w:gridCol w:w="1579"/>
        <w:gridCol w:w="1579"/>
        <w:gridCol w:w="1579"/>
        <w:gridCol w:w="1579"/>
        <w:gridCol w:w="1579"/>
        <w:gridCol w:w="1579"/>
      </w:tblGrid>
      <w:tr>
        <w:tc>
          <w:tcPr>
            <w:tcW w:type="dxa" w:w="2551"/>
          </w:tcPr>
          <w:p/>
        </w:tc>
        <w:tc>
          <w:tcPr>
            <w:tcW w:type="dxa" w:w="1370"/>
          </w:tcPr>
          <w:p>
            <w:r>
              <w:t>3 Months</w:t>
            </w:r>
          </w:p>
        </w:tc>
        <w:tc>
          <w:tcPr>
            <w:tcW w:type="dxa" w:w="1370"/>
          </w:tcPr>
          <w:p>
            <w:r>
              <w:t>6 Months</w:t>
            </w:r>
          </w:p>
        </w:tc>
        <w:tc>
          <w:tcPr>
            <w:tcW w:type="dxa" w:w="1370"/>
          </w:tcPr>
          <w:p>
            <w:r>
              <w:t>1 Year</w:t>
            </w:r>
          </w:p>
        </w:tc>
        <w:tc>
          <w:tcPr>
            <w:tcW w:type="dxa" w:w="1370"/>
          </w:tcPr>
          <w:p>
            <w:r>
              <w:t>2 Years (p.a.)</w:t>
            </w:r>
          </w:p>
        </w:tc>
        <w:tc>
          <w:tcPr>
            <w:tcW w:type="dxa" w:w="1370"/>
          </w:tcPr>
          <w:p>
            <w:r>
              <w:t>3 Years (p.a.)</w:t>
            </w:r>
          </w:p>
        </w:tc>
        <w:tc>
          <w:tcPr>
            <w:tcW w:type="dxa" w:w="1370"/>
          </w:tcPr>
          <w:p>
            <w:r>
              <w:t>Since Inception (p.a.)</w:t>
            </w:r>
          </w:p>
        </w:tc>
      </w:tr>
      <w:tr>
        <w:tc>
          <w:tcPr>
            <w:tcW w:type="dxa" w:w="2551"/>
          </w:tcPr>
          <w:p>
            <w:r>
              <w:t>AtchisonDirectAus_20EW</w:t>
            </w:r>
          </w:p>
        </w:tc>
        <w:tc>
          <w:tcPr>
            <w:tcW w:type="dxa" w:w="1370"/>
          </w:tcPr>
          <w:p>
            <w:r>
              <w:rPr>
                <w:b/>
              </w:rPr>
              <w:t>-1.72</w:t>
            </w:r>
          </w:p>
        </w:tc>
        <w:tc>
          <w:tcPr>
            <w:tcW w:type="dxa" w:w="1370"/>
          </w:tcPr>
          <w:p>
            <w:r>
              <w:rPr>
                <w:b/>
              </w:rPr>
              <w:t>9.98</w:t>
            </w:r>
          </w:p>
        </w:tc>
        <w:tc>
          <w:tcPr>
            <w:tcW w:type="dxa" w:w="1370"/>
          </w:tcPr>
          <w:p>
            <w:r>
              <w:rPr>
                <w:b/>
              </w:rPr>
              <w:t>6.04</w:t>
            </w:r>
          </w:p>
        </w:tc>
        <w:tc>
          <w:tcPr>
            <w:tcW w:type="dxa" w:w="1370"/>
          </w:tcPr>
          <w:p>
            <w:r>
              <w:rPr>
                <w:b/>
              </w:rPr>
              <w:t>18.9</w:t>
            </w:r>
          </w:p>
        </w:tc>
        <w:tc>
          <w:tcPr>
            <w:tcW w:type="dxa" w:w="1370"/>
          </w:tcPr>
          <w:p>
            <w:r>
              <w:rPr>
                <w:b/>
              </w:rPr>
              <w:t>19.81</w:t>
            </w:r>
          </w:p>
        </w:tc>
        <w:tc>
          <w:tcPr>
            <w:tcW w:type="dxa" w:w="1370"/>
          </w:tcPr>
          <w:p>
            <w:r>
              <w:rPr>
                <w:b/>
              </w:rPr>
              <w:t>14.87</w:t>
            </w:r>
          </w:p>
        </w:tc>
      </w:tr>
      <w:tr>
        <w:tc>
          <w:tcPr>
            <w:tcW w:type="dxa" w:w="2551"/>
          </w:tcPr>
          <w:p>
            <w:r>
              <w:t>Peer Group</w:t>
            </w:r>
          </w:p>
        </w:tc>
        <w:tc>
          <w:tcPr>
            <w:tcW w:type="dxa" w:w="1370"/>
          </w:tcPr>
          <w:p>
            <w:r>
              <w:t>3.97</w:t>
            </w:r>
          </w:p>
        </w:tc>
        <w:tc>
          <w:tcPr>
            <w:tcW w:type="dxa" w:w="1370"/>
          </w:tcPr>
          <w:p>
            <w:r>
              <w:t>12.25</w:t>
            </w:r>
          </w:p>
        </w:tc>
        <w:tc>
          <w:tcPr>
            <w:tcW w:type="dxa" w:w="1370"/>
          </w:tcPr>
          <w:p>
            <w:r>
              <w:t>7.16</w:t>
            </w:r>
          </w:p>
        </w:tc>
        <w:tc>
          <w:tcPr>
            <w:tcW w:type="dxa" w:w="1370"/>
          </w:tcPr>
          <w:p>
            <w:r>
              <w:t>12.52</w:t>
            </w:r>
          </w:p>
        </w:tc>
        <w:tc>
          <w:tcPr>
            <w:tcW w:type="dxa" w:w="1370"/>
          </w:tcPr>
          <w:p>
            <w:r>
              <w:t>11.81</w:t>
            </w:r>
          </w:p>
        </w:tc>
        <w:tc>
          <w:tcPr>
            <w:tcW w:type="dxa" w:w="1370"/>
          </w:tcPr>
          <w:p>
            <w:r>
              <w:t>6.75</w:t>
            </w:r>
          </w:p>
        </w:tc>
      </w:tr>
      <w:tr>
        <w:tc>
          <w:tcPr>
            <w:tcW w:type="dxa" w:w="2551"/>
          </w:tcPr>
          <w:p>
            <w:r>
              <w:t>Inflation</w:t>
            </w:r>
          </w:p>
        </w:tc>
        <w:tc>
          <w:tcPr>
            <w:tcW w:type="dxa" w:w="1370"/>
          </w:tcPr>
          <w:p>
            <w:r>
              <w:t>-0.01</w:t>
            </w:r>
          </w:p>
        </w:tc>
        <w:tc>
          <w:tcPr>
            <w:tcW w:type="dxa" w:w="1370"/>
          </w:tcPr>
          <w:p>
            <w:r>
              <w:t>1.34</w:t>
            </w:r>
          </w:p>
        </w:tc>
        <w:tc>
          <w:tcPr>
            <w:tcW w:type="dxa" w:w="1370"/>
          </w:tcPr>
          <w:p>
            <w:r>
              <w:t>2.05</w:t>
            </w:r>
          </w:p>
        </w:tc>
        <w:tc>
          <w:tcPr>
            <w:tcW w:type="dxa" w:w="1370"/>
          </w:tcPr>
          <w:p>
            <w:r>
              <w:t>2.08</w:t>
            </w:r>
          </w:p>
        </w:tc>
        <w:tc>
          <w:tcPr>
            <w:tcW w:type="dxa" w:w="1370"/>
          </w:tcPr>
          <w:p>
            <w:r>
              <w:t>3.24</w:t>
            </w:r>
          </w:p>
        </w:tc>
        <w:tc>
          <w:tcPr>
            <w:tcW w:type="dxa" w:w="1370"/>
          </w:tcPr>
          <w:p>
            <w:r>
              <w:t>4.23</w:t>
            </w:r>
          </w:p>
        </w:tc>
      </w:tr>
      <w:tr>
        <w:tc>
          <w:tcPr>
            <w:tcW w:type="dxa" w:w="2551"/>
          </w:tcPr>
          <w:p>
            <w:r>
              <w:t>Outperformance vs Peers</w:t>
            </w:r>
          </w:p>
        </w:tc>
        <w:tc>
          <w:tcPr>
            <w:tcW w:type="dxa" w:w="1370"/>
          </w:tcPr>
          <w:p>
            <w:r>
              <w:t>-5.69</w:t>
            </w:r>
          </w:p>
        </w:tc>
        <w:tc>
          <w:tcPr>
            <w:tcW w:type="dxa" w:w="1370"/>
          </w:tcPr>
          <w:p>
            <w:r>
              <w:t>-2.26</w:t>
            </w:r>
          </w:p>
        </w:tc>
        <w:tc>
          <w:tcPr>
            <w:tcW w:type="dxa" w:w="1370"/>
          </w:tcPr>
          <w:p>
            <w:r>
              <w:t>-1.12</w:t>
            </w:r>
          </w:p>
        </w:tc>
        <w:tc>
          <w:tcPr>
            <w:tcW w:type="dxa" w:w="1370"/>
          </w:tcPr>
          <w:p>
            <w:r>
              <w:t>6.39</w:t>
            </w:r>
          </w:p>
        </w:tc>
        <w:tc>
          <w:tcPr>
            <w:tcW w:type="dxa" w:w="1370"/>
          </w:tcPr>
          <w:p>
            <w:r>
              <w:t>8.0</w:t>
            </w:r>
          </w:p>
        </w:tc>
        <w:tc>
          <w:tcPr>
            <w:tcW w:type="dxa" w:w="1370"/>
          </w:tcPr>
          <w:p>
            <w:r>
              <w:t>8.11</w:t>
            </w:r>
          </w:p>
        </w:tc>
      </w:tr>
      <w:tr>
        <w:tc>
          <w:tcPr>
            <w:tcW w:type="dxa" w:w="2551"/>
          </w:tcPr>
          <w:p>
            <w:r>
              <w:t>Outperformance vs Inflation</w:t>
            </w:r>
          </w:p>
        </w:tc>
        <w:tc>
          <w:tcPr>
            <w:tcW w:type="dxa" w:w="1370"/>
          </w:tcPr>
          <w:p>
            <w:r>
              <w:t>-1.71</w:t>
            </w:r>
          </w:p>
        </w:tc>
        <w:tc>
          <w:tcPr>
            <w:tcW w:type="dxa" w:w="1370"/>
          </w:tcPr>
          <w:p>
            <w:r>
              <w:t>8.64</w:t>
            </w:r>
          </w:p>
        </w:tc>
        <w:tc>
          <w:tcPr>
            <w:tcW w:type="dxa" w:w="1370"/>
          </w:tcPr>
          <w:p>
            <w:r>
              <w:t>3.99</w:t>
            </w:r>
          </w:p>
        </w:tc>
        <w:tc>
          <w:tcPr>
            <w:tcW w:type="dxa" w:w="1370"/>
          </w:tcPr>
          <w:p>
            <w:r>
              <w:t>16.82</w:t>
            </w:r>
          </w:p>
        </w:tc>
        <w:tc>
          <w:tcPr>
            <w:tcW w:type="dxa" w:w="1370"/>
          </w:tcPr>
          <w:p>
            <w:r>
              <w:t>16.57</w:t>
            </w:r>
          </w:p>
        </w:tc>
        <w:tc>
          <w:tcPr>
            <w:tcW w:type="dxa" w:w="1370"/>
          </w:tcPr>
          <w:p>
            <w:r>
              <w:t>10.64</w:t>
            </w:r>
          </w:p>
        </w:tc>
      </w:tr>
    </w:tbl>
    <w:p>
      <w:pPr>
        <w:pStyle w:val="Note"/>
      </w:pPr>
      <w:r>
        <w:t>Inception Date: 30 June 2021</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Equity – Australia Peer Index, after underlying manager fees and before tax, over rolling five-year periods.</w:t>
      </w:r>
    </w:p>
    <w:p>
      <w:pPr>
        <w:pStyle w:val="Heading20"/>
      </w:pPr>
      <w:r>
        <w:t>Strategy Overview</w:t>
      </w:r>
    </w:p>
    <w:p>
      <w:pPr>
        <w:pStyle w:val="BodyStyle"/>
      </w:pPr>
      <w:r>
        <w:t xml:space="preserve">The Atchison Direct Australian Shares Portfolio offers an all-in-one solution for your direct Australian shares, providing a low-cost equali weighted diversified portfolios of securities. The portfolio is structured with 20 positions of 5% each, with a quantitative model providing industry and name diversification.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AtchisonDirect</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30 June 2021</w:t>
            </w:r>
          </w:p>
        </w:tc>
      </w:tr>
      <w:tr>
        <w:tc>
          <w:tcPr>
            <w:tcW w:type="dxa" w:w="2268"/>
          </w:tcPr>
          <w:p>
            <w:r>
              <w:t>Investment Horizon</w:t>
            </w:r>
          </w:p>
        </w:tc>
        <w:tc>
          <w:tcPr>
            <w:tcW w:type="dxa" w:w="3118"/>
          </w:tcPr>
          <w:p>
            <w:r>
              <w:t>12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TNE-AU</w:t>
            </w:r>
          </w:p>
        </w:tc>
        <w:tc>
          <w:tcPr>
            <w:tcW w:type="dxa" w:w="3685"/>
          </w:tcPr>
          <w:p>
            <w:r>
              <w:t>Technology One Limited</w:t>
            </w:r>
          </w:p>
        </w:tc>
      </w:tr>
      <w:tr>
        <w:tc>
          <w:tcPr>
            <w:tcW w:type="dxa" w:w="1417"/>
          </w:tcPr>
          <w:p>
            <w:r>
              <w:t>NAB-AU</w:t>
            </w:r>
          </w:p>
        </w:tc>
        <w:tc>
          <w:tcPr>
            <w:tcW w:type="dxa" w:w="3685"/>
          </w:tcPr>
          <w:p>
            <w:r>
              <w:t>National Australia Bank Limited</w:t>
            </w:r>
          </w:p>
        </w:tc>
      </w:tr>
      <w:tr>
        <w:tc>
          <w:tcPr>
            <w:tcW w:type="dxa" w:w="1417"/>
          </w:tcPr>
          <w:p>
            <w:r>
              <w:t>WES-AU</w:t>
            </w:r>
          </w:p>
        </w:tc>
        <w:tc>
          <w:tcPr>
            <w:tcW w:type="dxa" w:w="3685"/>
          </w:tcPr>
          <w:p>
            <w:r>
              <w:t>Wesfarmers Limited</w:t>
            </w:r>
          </w:p>
        </w:tc>
      </w:tr>
      <w:tr>
        <w:tc>
          <w:tcPr>
            <w:tcW w:type="dxa" w:w="1417"/>
          </w:tcPr>
          <w:p>
            <w:r>
              <w:t>FMG-AU</w:t>
            </w:r>
          </w:p>
        </w:tc>
        <w:tc>
          <w:tcPr>
            <w:tcW w:type="dxa" w:w="3685"/>
          </w:tcPr>
          <w:p>
            <w:r>
              <w:t>Fortescue Ltd</w:t>
            </w:r>
          </w:p>
        </w:tc>
      </w:tr>
      <w:tr>
        <w:tc>
          <w:tcPr>
            <w:tcW w:type="dxa" w:w="1417"/>
          </w:tcPr>
          <w:p>
            <w:r>
              <w:t>BXB-AU</w:t>
            </w:r>
          </w:p>
        </w:tc>
        <w:tc>
          <w:tcPr>
            <w:tcW w:type="dxa" w:w="3685"/>
          </w:tcPr>
          <w:p>
            <w:r>
              <w:t>Brambles Limited</w:t>
            </w:r>
          </w:p>
        </w:tc>
      </w:tr>
      <w:tr>
        <w:tc>
          <w:tcPr>
            <w:tcW w:type="dxa" w:w="1417"/>
          </w:tcPr>
          <w:p>
            <w:r>
              <w:t>ORG-AU</w:t>
            </w:r>
          </w:p>
        </w:tc>
        <w:tc>
          <w:tcPr>
            <w:tcW w:type="dxa" w:w="3685"/>
          </w:tcPr>
          <w:p>
            <w:r>
              <w:t>Origin Energy Limited</w:t>
            </w:r>
          </w:p>
        </w:tc>
      </w:tr>
      <w:tr>
        <w:tc>
          <w:tcPr>
            <w:tcW w:type="dxa" w:w="1417"/>
          </w:tcPr>
          <w:p>
            <w:r>
              <w:t>RMD-AU</w:t>
            </w:r>
          </w:p>
        </w:tc>
        <w:tc>
          <w:tcPr>
            <w:tcW w:type="dxa" w:w="3685"/>
          </w:tcPr>
          <w:p>
            <w:r>
              <w:t>ResMed Inc.</w:t>
            </w:r>
          </w:p>
        </w:tc>
      </w:tr>
      <w:tr>
        <w:tc>
          <w:tcPr>
            <w:tcW w:type="dxa" w:w="1417"/>
          </w:tcPr>
          <w:p>
            <w:r>
              <w:t>TLS-AU</w:t>
            </w:r>
          </w:p>
        </w:tc>
        <w:tc>
          <w:tcPr>
            <w:tcW w:type="dxa" w:w="3685"/>
          </w:tcPr>
          <w:p>
            <w:r>
              <w:t>Telstra Group Limited</w:t>
            </w:r>
          </w:p>
        </w:tc>
      </w:tr>
      <w:tr>
        <w:tc>
          <w:tcPr>
            <w:tcW w:type="dxa" w:w="1417"/>
          </w:tcPr>
          <w:p>
            <w:r>
              <w:t>BHP-AU</w:t>
            </w:r>
          </w:p>
        </w:tc>
        <w:tc>
          <w:tcPr>
            <w:tcW w:type="dxa" w:w="3685"/>
          </w:tcPr>
          <w:p>
            <w:r>
              <w:t>BHP Group Limited</w:t>
            </w:r>
          </w:p>
        </w:tc>
      </w:tr>
      <w:tr>
        <w:tc>
          <w:tcPr>
            <w:tcW w:type="dxa" w:w="1417"/>
          </w:tcPr>
          <w:p>
            <w:r>
              <w:t>MQG-AU</w:t>
            </w:r>
          </w:p>
        </w:tc>
        <w:tc>
          <w:tcPr>
            <w:tcW w:type="dxa" w:w="3685"/>
          </w:tcPr>
          <w:p>
            <w:r>
              <w:t>Macquarie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a_IndustryOWUW.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AusEq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AusEq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Aristocrat Leisure Limited</w:t>
            </w:r>
          </w:p>
        </w:tc>
        <w:tc>
          <w:tcPr>
            <w:tcW w:type="dxa" w:w="1417"/>
          </w:tcPr>
          <w:p>
            <w:r>
              <w:t>21.03</w:t>
            </w:r>
          </w:p>
        </w:tc>
        <w:tc>
          <w:tcPr>
            <w:tcW w:type="dxa" w:w="1417"/>
          </w:tcPr>
          <w:p>
            <w:r>
              <w:t>32.79</w:t>
            </w:r>
          </w:p>
        </w:tc>
      </w:tr>
      <w:tr>
        <w:tc>
          <w:tcPr>
            <w:tcW w:type="dxa" w:w="2268"/>
          </w:tcPr>
          <w:p>
            <w:r>
              <w:t>BHP Group Limited</w:t>
            </w:r>
          </w:p>
        </w:tc>
        <w:tc>
          <w:tcPr>
            <w:tcW w:type="dxa" w:w="1417"/>
          </w:tcPr>
          <w:p>
            <w:r>
              <w:t>-3.53</w:t>
            </w:r>
          </w:p>
        </w:tc>
        <w:tc>
          <w:tcPr>
            <w:tcW w:type="dxa" w:w="1417"/>
          </w:tcPr>
          <w:p>
            <w:r>
              <w:t>2.78</w:t>
            </w:r>
          </w:p>
        </w:tc>
      </w:tr>
      <w:tr>
        <w:tc>
          <w:tcPr>
            <w:tcW w:type="dxa" w:w="2268"/>
          </w:tcPr>
          <w:p>
            <w:r>
              <w:t>Brambles Limited</w:t>
            </w:r>
          </w:p>
        </w:tc>
        <w:tc>
          <w:tcPr>
            <w:tcW w:type="dxa" w:w="1417"/>
          </w:tcPr>
          <w:p>
            <w:r>
              <w:t>33.94</w:t>
            </w:r>
          </w:p>
        </w:tc>
        <w:tc>
          <w:tcPr>
            <w:tcW w:type="dxa" w:w="1417"/>
          </w:tcPr>
          <w:p>
            <w:r>
              <w:t>35.4</w:t>
            </w:r>
          </w:p>
        </w:tc>
      </w:tr>
      <w:tr>
        <w:tc>
          <w:tcPr>
            <w:tcW w:type="dxa" w:w="2268"/>
          </w:tcPr>
          <w:p>
            <w:r>
              <w:t>Commonwealth Bank of Australia</w:t>
            </w:r>
          </w:p>
        </w:tc>
        <w:tc>
          <w:tcPr>
            <w:tcW w:type="dxa" w:w="1417"/>
          </w:tcPr>
          <w:p>
            <w:r>
              <w:t>26.9</w:t>
            </w:r>
          </w:p>
        </w:tc>
        <w:tc>
          <w:tcPr>
            <w:tcW w:type="dxa" w:w="1417"/>
          </w:tcPr>
          <w:p>
            <w:r>
              <w:t>33.48</w:t>
            </w:r>
          </w:p>
        </w:tc>
      </w:tr>
      <w:tr>
        <w:tc>
          <w:tcPr>
            <w:tcW w:type="dxa" w:w="2268"/>
          </w:tcPr>
          <w:p>
            <w:r>
              <w:t>CSL Limited</w:t>
            </w:r>
          </w:p>
        </w:tc>
        <w:tc>
          <w:tcPr>
            <w:tcW w:type="dxa" w:w="1417"/>
          </w:tcPr>
          <w:p>
            <w:r>
              <w:t>-29.39</w:t>
            </w:r>
          </w:p>
        </w:tc>
        <w:tc>
          <w:tcPr>
            <w:tcW w:type="dxa" w:w="1417"/>
          </w:tcPr>
          <w:p>
            <w:r>
              <w:t>-9.6</w:t>
            </w:r>
          </w:p>
        </w:tc>
      </w:tr>
      <w:tr>
        <w:tc>
          <w:tcPr>
            <w:tcW w:type="dxa" w:w="2268"/>
          </w:tcPr>
          <w:p>
            <w:r>
              <w:t>Fortescue Ltd</w:t>
            </w:r>
          </w:p>
        </w:tc>
        <w:tc>
          <w:tcPr>
            <w:tcW w:type="dxa" w:w="1417"/>
          </w:tcPr>
          <w:p>
            <w:r>
              <w:t>-3.98</w:t>
            </w:r>
          </w:p>
        </w:tc>
        <w:tc>
          <w:tcPr>
            <w:tcW w:type="dxa" w:w="1417"/>
          </w:tcPr>
          <w:p>
            <w:r>
              <w:t>2.12</w:t>
            </w:r>
          </w:p>
        </w:tc>
      </w:tr>
      <w:tr>
        <w:tc>
          <w:tcPr>
            <w:tcW w:type="dxa" w:w="2268"/>
          </w:tcPr>
          <w:p>
            <w:r>
              <w:t>GQG Partners Inc.</w:t>
            </w:r>
          </w:p>
        </w:tc>
        <w:tc>
          <w:tcPr>
            <w:tcW w:type="dxa" w:w="1417"/>
          </w:tcPr>
          <w:p>
            <w:r>
              <w:t>-35.83</w:t>
            </w:r>
          </w:p>
        </w:tc>
        <w:tc>
          <w:tcPr>
            <w:tcW w:type="dxa" w:w="1417"/>
          </w:tcPr>
          <w:p>
            <w:r>
              <w:t>17.83</w:t>
            </w:r>
          </w:p>
        </w:tc>
      </w:tr>
      <w:tr>
        <w:tc>
          <w:tcPr>
            <w:tcW w:type="dxa" w:w="2268"/>
          </w:tcPr>
          <w:p>
            <w:r>
              <w:t>James Hardie Industries PLC</w:t>
            </w:r>
          </w:p>
        </w:tc>
        <w:tc>
          <w:tcPr>
            <w:tcW w:type="dxa" w:w="1417"/>
          </w:tcPr>
          <w:p>
            <w:r>
              <w:t>-51.11</w:t>
            </w:r>
          </w:p>
        </w:tc>
        <w:tc>
          <w:tcPr>
            <w:tcW w:type="dxa" w:w="1417"/>
          </w:tcPr>
          <w:p>
            <w:r>
              <w:t>-17.01</w:t>
            </w:r>
          </w:p>
        </w:tc>
      </w:tr>
      <w:tr>
        <w:tc>
          <w:tcPr>
            <w:tcW w:type="dxa" w:w="2268"/>
          </w:tcPr>
          <w:p>
            <w:r>
              <w:t>Macquarie Group Limited</w:t>
            </w:r>
          </w:p>
        </w:tc>
        <w:tc>
          <w:tcPr>
            <w:tcW w:type="dxa" w:w="1417"/>
          </w:tcPr>
          <w:p>
            <w:r>
              <w:t>-2.71</w:t>
            </w:r>
          </w:p>
        </w:tc>
        <w:tc>
          <w:tcPr>
            <w:tcW w:type="dxa" w:w="1417"/>
          </w:tcPr>
          <w:p>
            <w:r>
              <w:t>18.18</w:t>
            </w:r>
          </w:p>
        </w:tc>
      </w:tr>
      <w:tr>
        <w:tc>
          <w:tcPr>
            <w:tcW w:type="dxa" w:w="2268"/>
          </w:tcPr>
          <w:p>
            <w:r>
              <w:t>National Australia Bank Limited</w:t>
            </w:r>
          </w:p>
        </w:tc>
        <w:tc>
          <w:tcPr>
            <w:tcW w:type="dxa" w:w="1417"/>
          </w:tcPr>
          <w:p>
            <w:r>
              <w:t>23.67</w:t>
            </w:r>
          </w:p>
        </w:tc>
        <w:tc>
          <w:tcPr>
            <w:tcW w:type="dxa" w:w="1417"/>
          </w:tcPr>
          <w:p>
            <w:r>
              <w:t>29.45</w:t>
            </w:r>
          </w:p>
        </w:tc>
      </w:tr>
      <w:tr>
        <w:tc>
          <w:tcPr>
            <w:tcW w:type="dxa" w:w="2268"/>
          </w:tcPr>
          <w:p>
            <w:r>
              <w:t>Origin Energy Limited</w:t>
            </w:r>
          </w:p>
        </w:tc>
        <w:tc>
          <w:tcPr>
            <w:tcW w:type="dxa" w:w="1417"/>
          </w:tcPr>
          <w:p>
            <w:r>
              <w:t>31.55</w:t>
            </w:r>
          </w:p>
        </w:tc>
        <w:tc>
          <w:tcPr>
            <w:tcW w:type="dxa" w:w="1417"/>
          </w:tcPr>
          <w:p>
            <w:r>
              <w:t>26.12</w:t>
            </w:r>
          </w:p>
        </w:tc>
      </w:tr>
      <w:tr>
        <w:tc>
          <w:tcPr>
            <w:tcW w:type="dxa" w:w="2268"/>
          </w:tcPr>
          <w:p>
            <w:r>
              <w:t>QBE Insurance Group Limited</w:t>
            </w:r>
          </w:p>
        </w:tc>
        <w:tc>
          <w:tcPr>
            <w:tcW w:type="dxa" w:w="1417"/>
          </w:tcPr>
          <w:p>
            <w:r>
              <w:t>30.06</w:t>
            </w:r>
          </w:p>
        </w:tc>
        <w:tc>
          <w:tcPr>
            <w:tcW w:type="dxa" w:w="1417"/>
          </w:tcPr>
          <w:p>
            <w:r>
              <w:t>19.51</w:t>
            </w:r>
          </w:p>
        </w:tc>
      </w:tr>
      <w:tr>
        <w:tc>
          <w:tcPr>
            <w:tcW w:type="dxa" w:w="2268"/>
          </w:tcPr>
          <w:p>
            <w:r>
              <w:t>ResMed Inc.</w:t>
            </w:r>
          </w:p>
        </w:tc>
        <w:tc>
          <w:tcPr>
            <w:tcW w:type="dxa" w:w="1417"/>
          </w:tcPr>
          <w:p>
            <w:r>
              <w:t>18.04</w:t>
            </w:r>
          </w:p>
        </w:tc>
        <w:tc>
          <w:tcPr>
            <w:tcW w:type="dxa" w:w="1417"/>
          </w:tcPr>
          <w:p>
            <w:r>
              <w:t>32.68</w:t>
            </w:r>
          </w:p>
        </w:tc>
      </w:tr>
      <w:tr>
        <w:tc>
          <w:tcPr>
            <w:tcW w:type="dxa" w:w="2268"/>
          </w:tcPr>
          <w:p>
            <w:r>
              <w:t>Transurban Group</w:t>
            </w:r>
          </w:p>
        </w:tc>
        <w:tc>
          <w:tcPr>
            <w:tcW w:type="dxa" w:w="1417"/>
          </w:tcPr>
          <w:p>
            <w:r>
              <w:t>10.17</w:t>
            </w:r>
          </w:p>
        </w:tc>
        <w:tc>
          <w:tcPr>
            <w:tcW w:type="dxa" w:w="1417"/>
          </w:tcPr>
          <w:p>
            <w:r>
              <w:t>9.3</w:t>
            </w:r>
          </w:p>
        </w:tc>
      </w:tr>
      <w:tr>
        <w:tc>
          <w:tcPr>
            <w:tcW w:type="dxa" w:w="2268"/>
          </w:tcPr>
          <w:p>
            <w:r>
              <w:t>Telstra Group Limited</w:t>
            </w:r>
          </w:p>
        </w:tc>
        <w:tc>
          <w:tcPr>
            <w:tcW w:type="dxa" w:w="1417"/>
          </w:tcPr>
          <w:p>
            <w:r>
              <w:t>29.59</w:t>
            </w:r>
          </w:p>
        </w:tc>
        <w:tc>
          <w:tcPr>
            <w:tcW w:type="dxa" w:w="1417"/>
          </w:tcPr>
          <w:p>
            <w:r>
              <w:t>16.93</w:t>
            </w:r>
          </w:p>
        </w:tc>
      </w:tr>
      <w:tr>
        <w:tc>
          <w:tcPr>
            <w:tcW w:type="dxa" w:w="2268"/>
          </w:tcPr>
          <w:p>
            <w:r>
              <w:t>Technology One Limited</w:t>
            </w:r>
          </w:p>
        </w:tc>
        <w:tc>
          <w:tcPr>
            <w:tcW w:type="dxa" w:w="1417"/>
          </w:tcPr>
          <w:p>
            <w:r>
              <w:t>62.37</w:t>
            </w:r>
          </w:p>
        </w:tc>
        <w:tc>
          <w:tcPr>
            <w:tcW w:type="dxa" w:w="1417"/>
          </w:tcPr>
          <w:p>
            <w:r>
              <w:t>58.92</w:t>
            </w:r>
          </w:p>
        </w:tc>
      </w:tr>
      <w:tr>
        <w:tc>
          <w:tcPr>
            <w:tcW w:type="dxa" w:w="2268"/>
          </w:tcPr>
          <w:p>
            <w:r>
              <w:t>Woodside Energy Group Ltd</w:t>
            </w:r>
          </w:p>
        </w:tc>
        <w:tc>
          <w:tcPr>
            <w:tcW w:type="dxa" w:w="1417"/>
          </w:tcPr>
          <w:p>
            <w:r>
              <w:t>-2.27</w:t>
            </w:r>
          </w:p>
        </w:tc>
        <w:tc>
          <w:tcPr>
            <w:tcW w:type="dxa" w:w="1417"/>
          </w:tcPr>
          <w:p>
            <w:r>
              <w:t>-14.89</w:t>
            </w:r>
          </w:p>
        </w:tc>
      </w:tr>
      <w:tr>
        <w:tc>
          <w:tcPr>
            <w:tcW w:type="dxa" w:w="2268"/>
          </w:tcPr>
          <w:p>
            <w:r>
              <w:t>Wesfarmers Limited</w:t>
            </w:r>
          </w:p>
        </w:tc>
        <w:tc>
          <w:tcPr>
            <w:tcW w:type="dxa" w:w="1417"/>
          </w:tcPr>
          <w:p>
            <w:r>
              <w:t>33.99</w:t>
            </w:r>
          </w:p>
        </w:tc>
        <w:tc>
          <w:tcPr>
            <w:tcW w:type="dxa" w:w="1417"/>
          </w:tcPr>
          <w:p>
            <w:r>
              <w:t>35.52</w:t>
            </w:r>
          </w:p>
        </w:tc>
      </w:tr>
      <w:tr>
        <w:tc>
          <w:tcPr>
            <w:tcW w:type="dxa" w:w="2268"/>
          </w:tcPr>
          <w:p>
            <w:r>
              <w:t>Woolworths Group Limited</w:t>
            </w:r>
          </w:p>
        </w:tc>
        <w:tc>
          <w:tcPr>
            <w:tcW w:type="dxa" w:w="1417"/>
          </w:tcPr>
          <w:p>
            <w:r>
              <w:t>-17.42</w:t>
            </w:r>
          </w:p>
        </w:tc>
        <w:tc>
          <w:tcPr>
            <w:tcW w:type="dxa" w:w="1417"/>
          </w:tcPr>
          <w:p>
            <w:r>
              <w:t>-12.33</w:t>
            </w:r>
          </w:p>
        </w:tc>
      </w:tr>
      <w:tr>
        <w:tc>
          <w:tcPr>
            <w:tcW w:type="dxa" w:w="2268"/>
          </w:tcPr>
          <w:p>
            <w:r>
              <w:t>WiseTech Global Limited</w:t>
            </w:r>
          </w:p>
        </w:tc>
        <w:tc>
          <w:tcPr>
            <w:tcW w:type="dxa" w:w="1417"/>
          </w:tcPr>
          <w:p>
            <w:r>
              <w:t>-34.05</w:t>
            </w:r>
          </w:p>
        </w:tc>
        <w:tc>
          <w:tcPr>
            <w:tcW w:type="dxa" w:w="1417"/>
          </w:tcPr>
          <w:p>
            <w:r>
              <w:t>18.0</w:t>
            </w:r>
          </w:p>
        </w:tc>
      </w:tr>
      <w:tr>
        <w:tc>
          <w:tcPr>
            <w:tcW w:type="dxa" w:w="2268"/>
          </w:tcPr>
          <w:p>
            <w:r>
              <w:rPr>
                <w:b/>
              </w:rPr>
              <w:t>BM: Australian Shares</w:t>
            </w:r>
          </w:p>
        </w:tc>
        <w:tc>
          <w:tcPr>
            <w:tcW w:type="dxa" w:w="1417"/>
          </w:tcPr>
          <w:p>
            <w:r>
              <w:rPr>
                <w:b/>
              </w:rPr>
              <w:t>10.49</w:t>
            </w:r>
          </w:p>
        </w:tc>
        <w:tc>
          <w:tcPr>
            <w:tcW w:type="dxa" w:w="1417"/>
          </w:tcPr>
          <w:p>
            <w:r>
              <w:rPr>
                <w:b/>
              </w:rPr>
              <w:t>15.89</w:t>
            </w:r>
          </w:p>
        </w:tc>
      </w:tr>
    </w:tbl>
    <w:p>
      <w:pPr>
        <w:pStyle w:val="Note"/>
      </w:pPr>
      <w:r>
        <w:t>Inception Date: 30 June 2021</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