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pPr>
        <w:pStyle w:val="Heading10"/>
        <w:tabs>
          <w:tab w:pos="10772" w:val="right"/>
        </w:tabs>
      </w:pPr>
      <w:r>
        <w:t>Atchison Active Floating Rate SMA</w:t>
      </w:r>
      <w:r>
        <w:tab/>
      </w:r>
      <w:r>
        <w:t>30 April 2025</w:t>
      </w: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 (p.a.)</w:t>
            </w:r>
          </w:p>
        </w:tc>
      </w:tr>
      <w:tr>
        <w:tc>
          <w:tcPr>
            <w:tcW w:type="dxa" w:w="2551"/>
          </w:tcPr>
          <w:p>
            <w:r>
              <w:t>AtchisonFloatingRate</w:t>
            </w:r>
          </w:p>
        </w:tc>
        <w:tc>
          <w:tcPr>
            <w:tcW w:type="dxa" w:w="1644"/>
          </w:tcPr>
          <w:p>
            <w:r>
              <w:rPr>
                <w:b/>
              </w:rPr>
              <w:t>1.25</w:t>
            </w:r>
          </w:p>
        </w:tc>
        <w:tc>
          <w:tcPr>
            <w:tcW w:type="dxa" w:w="1644"/>
          </w:tcPr>
          <w:p>
            <w:r>
              <w:rPr>
                <w:b/>
              </w:rPr>
              <w:t>2.83</w:t>
            </w:r>
          </w:p>
        </w:tc>
        <w:tc>
          <w:tcPr>
            <w:tcW w:type="dxa" w:w="1644"/>
          </w:tcPr>
          <w:p>
            <w:r>
              <w:rPr>
                <w:b/>
              </w:rPr>
              <w:t>6.05</w:t>
            </w:r>
          </w:p>
        </w:tc>
        <w:tc>
          <w:tcPr>
            <w:tcW w:type="dxa" w:w="1644"/>
          </w:tcPr>
          <w:p>
            <w:r>
              <w:rPr>
                <w:b/>
              </w:rPr>
              <w:t>5.76</w:t>
            </w:r>
          </w:p>
        </w:tc>
        <w:tc>
          <w:tcPr>
            <w:tcW w:type="dxa" w:w="1644"/>
          </w:tcPr>
          <w:p>
            <w:r>
              <w:rPr>
                <w:b/>
              </w:rPr>
              <w:t>5.92</w:t>
            </w:r>
          </w:p>
        </w:tc>
      </w:tr>
      <w:tr>
        <w:tc>
          <w:tcPr>
            <w:tcW w:type="dxa" w:w="2551"/>
          </w:tcPr>
          <w:p>
            <w:r>
              <w:t>Peer Group</w:t>
            </w:r>
          </w:p>
        </w:tc>
        <w:tc>
          <w:tcPr>
            <w:tcW w:type="dxa" w:w="1644"/>
          </w:tcPr>
          <w:p>
            <w:r>
              <w:t>0.99</w:t>
            </w:r>
          </w:p>
        </w:tc>
        <w:tc>
          <w:tcPr>
            <w:tcW w:type="dxa" w:w="1644"/>
          </w:tcPr>
          <w:p>
            <w:r>
              <w:t>1.99</w:t>
            </w:r>
          </w:p>
        </w:tc>
        <w:tc>
          <w:tcPr>
            <w:tcW w:type="dxa" w:w="1644"/>
          </w:tcPr>
          <w:p>
            <w:r>
              <w:t>4.3</w:t>
            </w:r>
          </w:p>
        </w:tc>
        <w:tc>
          <w:tcPr>
            <w:tcW w:type="dxa" w:w="1644"/>
          </w:tcPr>
          <w:p>
            <w:r>
              <w:t>4.32</w:t>
            </w:r>
          </w:p>
        </w:tc>
        <w:tc>
          <w:tcPr>
            <w:tcW w:type="dxa" w:w="1644"/>
          </w:tcPr>
          <w:p>
            <w:r>
              <w:t>4.48</w:t>
            </w:r>
          </w:p>
        </w:tc>
      </w:tr>
      <w:tr>
        <w:tc>
          <w:tcPr>
            <w:tcW w:type="dxa" w:w="2551"/>
          </w:tcPr>
          <w:p>
            <w:r>
              <w:t>Inflation</w:t>
            </w:r>
          </w:p>
        </w:tc>
        <w:tc>
          <w:tcPr>
            <w:tcW w:type="dxa" w:w="1644"/>
          </w:tcPr>
          <w:p>
            <w:r>
              <w:t>0.6</w:t>
            </w:r>
          </w:p>
        </w:tc>
        <w:tc>
          <w:tcPr>
            <w:tcW w:type="dxa" w:w="1644"/>
          </w:tcPr>
          <w:p>
            <w:r>
              <w:t>1.21</w:t>
            </w:r>
          </w:p>
        </w:tc>
        <w:tc>
          <w:tcPr>
            <w:tcW w:type="dxa" w:w="1644"/>
          </w:tcPr>
          <w:p>
            <w:r>
              <w:t>3.24</w:t>
            </w:r>
          </w:p>
        </w:tc>
        <w:tc>
          <w:tcPr>
            <w:tcW w:type="dxa" w:w="1644"/>
          </w:tcPr>
          <w:p>
            <w:r>
              <w:t>3.5</w:t>
            </w:r>
          </w:p>
        </w:tc>
        <w:tc>
          <w:tcPr>
            <w:tcW w:type="dxa" w:w="1644"/>
          </w:tcPr>
          <w:p>
            <w:r>
              <w:t>3.63</w:t>
            </w:r>
          </w:p>
        </w:tc>
      </w:tr>
      <w:tr>
        <w:tc>
          <w:tcPr>
            <w:tcW w:type="dxa" w:w="2551"/>
          </w:tcPr>
          <w:p>
            <w:r>
              <w:t>Outperformance vs Peers</w:t>
            </w:r>
          </w:p>
        </w:tc>
        <w:tc>
          <w:tcPr>
            <w:tcW w:type="dxa" w:w="1644"/>
          </w:tcPr>
          <w:p>
            <w:r>
              <w:t>0.25</w:t>
            </w:r>
          </w:p>
        </w:tc>
        <w:tc>
          <w:tcPr>
            <w:tcW w:type="dxa" w:w="1644"/>
          </w:tcPr>
          <w:p>
            <w:r>
              <w:t>0.84</w:t>
            </w:r>
          </w:p>
        </w:tc>
        <w:tc>
          <w:tcPr>
            <w:tcW w:type="dxa" w:w="1644"/>
          </w:tcPr>
          <w:p>
            <w:r>
              <w:t>1.76</w:t>
            </w:r>
          </w:p>
        </w:tc>
        <w:tc>
          <w:tcPr>
            <w:tcW w:type="dxa" w:w="1644"/>
          </w:tcPr>
          <w:p>
            <w:r>
              <w:t>1.44</w:t>
            </w:r>
          </w:p>
        </w:tc>
        <w:tc>
          <w:tcPr>
            <w:tcW w:type="dxa" w:w="1644"/>
          </w:tcPr>
          <w:p>
            <w:r>
              <w:t>1.45</w:t>
            </w:r>
          </w:p>
        </w:tc>
      </w:tr>
      <w:tr>
        <w:tc>
          <w:tcPr>
            <w:tcW w:type="dxa" w:w="2551"/>
          </w:tcPr>
          <w:p>
            <w:r>
              <w:t>Outperformance vs Inflation</w:t>
            </w:r>
          </w:p>
        </w:tc>
        <w:tc>
          <w:tcPr>
            <w:tcW w:type="dxa" w:w="1644"/>
          </w:tcPr>
          <w:p>
            <w:r>
              <w:t>0.65</w:t>
            </w:r>
          </w:p>
        </w:tc>
        <w:tc>
          <w:tcPr>
            <w:tcW w:type="dxa" w:w="1644"/>
          </w:tcPr>
          <w:p>
            <w:r>
              <w:t>1.61</w:t>
            </w:r>
          </w:p>
        </w:tc>
        <w:tc>
          <w:tcPr>
            <w:tcW w:type="dxa" w:w="1644"/>
          </w:tcPr>
          <w:p>
            <w:r>
              <w:t>2.81</w:t>
            </w:r>
          </w:p>
        </w:tc>
        <w:tc>
          <w:tcPr>
            <w:tcW w:type="dxa" w:w="1644"/>
          </w:tcPr>
          <w:p>
            <w:r>
              <w:t>2.27</w:t>
            </w:r>
          </w:p>
        </w:tc>
        <w:tc>
          <w:tcPr>
            <w:tcW w:type="dxa" w:w="1644"/>
          </w:tcPr>
          <w:p>
            <w:r>
              <w:t>2.29</w:t>
            </w:r>
          </w:p>
        </w:tc>
      </w:tr>
    </w:tbl>
    <w:p>
      <w:pPr>
        <w:pStyle w:val="Note"/>
      </w:pPr>
      <w:r>
        <w:t>Inception Date: 31 December 2022</w:t>
      </w:r>
    </w:p>
    <w:p>
      <w:pPr>
        <w:sectPr>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pPr>
        <w:pStyle w:val="Heading20"/>
      </w:pPr>
      <w:r>
        <w:t>Investment Objective</w:t>
      </w:r>
    </w:p>
    <w:p>
      <w:pPr>
        <w:pStyle w:val="BodyStyle"/>
      </w:pPr>
      <w:r>
        <w:t>Outperform the RBA Cash Rate, after underlying manager fees and before tax, over rolling three-year periods.</w:t>
      </w:r>
    </w:p>
    <w:p>
      <w:pPr>
        <w:pStyle w:val="Heading20"/>
      </w:pPr>
      <w:r>
        <w:t>Strategy Overview</w:t>
      </w:r>
    </w:p>
    <w:p>
      <w:pPr>
        <w:pStyle w:val="BodyStyle"/>
      </w:pPr>
      <w:r>
        <w:t>The Atchison Active Floating Rate Portfolio offers a bespoke solution as part of your defensive bond asset class allocation. Focusing on floating rate bank securities, asset backed securities and diversified credit strategies that pay a variable (or “floating” ) interest rate, typically with a duration of less than three years.</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Floating Rate</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RBA Cash Rate</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3 Years</w:t>
            </w:r>
          </w:p>
        </w:tc>
      </w:tr>
      <w:tr>
        <w:tc>
          <w:tcPr>
            <w:tcW w:type="dxa" w:w="2268"/>
          </w:tcPr>
          <w:p>
            <w:r>
              <w:t>Risk Level (SRM)</w:t>
            </w:r>
          </w:p>
        </w:tc>
        <w:tc>
          <w:tcPr>
            <w:tcW w:type="dxa" w:w="3118"/>
          </w:tcPr>
          <w:p>
            <w:r>
              <w:t>Low to Medium</w:t>
            </w:r>
          </w:p>
        </w:tc>
      </w:tr>
      <w:tr>
        <w:tc>
          <w:tcPr>
            <w:tcW w:type="dxa" w:w="2268"/>
          </w:tcPr>
          <w:p>
            <w:r>
              <w:t>Min Investment</w:t>
            </w:r>
          </w:p>
        </w:tc>
        <w:tc>
          <w:tcPr>
            <w:tcW w:type="dxa" w:w="3118"/>
          </w:tcPr>
          <w:p>
            <w:r>
              <w:t>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0.37%</w:t>
            </w:r>
          </w:p>
        </w:tc>
      </w:tr>
      <w:tr>
        <w:tc>
          <w:tcPr>
            <w:tcW w:type="dxa" w:w="2268"/>
          </w:tcPr>
          <w:p>
            <w:r>
              <w:t>Underlying Perf Fees</w:t>
            </w:r>
          </w:p>
        </w:tc>
        <w:tc>
          <w:tcPr>
            <w:tcW w:type="dxa" w:w="3118"/>
          </w:tcPr>
          <w:p>
            <w:r>
              <w:t>0.00%</w:t>
            </w:r>
          </w:p>
        </w:tc>
      </w:tr>
    </w:tbl>
    <w:br w:type="column"/>
    <w:p>
      <w:pPr>
        <w:pStyle w:val="Heading30"/>
      </w:pPr>
      <w:r>
        <w:t>Strategy Performance</w:t>
      </w:r>
    </w:p>
    <w:p>
      <w:r>
        <w:drawing>
          <wp:inline xmlns:a="http://schemas.openxmlformats.org/drawingml/2006/main" xmlns:pic="http://schemas.openxmlformats.org/drawingml/2006/picture">
            <wp:extent cx="3240000" cy="180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9"/>
                    <a:stretch>
                      <a:fillRect/>
                    </a:stretch>
                  </pic:blipFill>
                  <pic:spPr>
                    <a:xfrm>
                      <a:off x="0" y="0"/>
                      <a:ext cx="3240000" cy="1800000"/>
                    </a:xfrm>
                    <a:prstGeom prst="rect"/>
                  </pic:spPr>
                </pic:pic>
              </a:graphicData>
            </a:graphic>
          </wp:inline>
        </w:drawing>
      </w:r>
    </w:p>
    <w:p>
      <w:pPr>
        <w:pStyle w:val="Heading30"/>
      </w:pPr>
      <w:r>
        <w:t>Cumulative Performance Since Inception</w:t>
      </w:r>
    </w:p>
    <w:p>
      <w:r>
        <w:drawing>
          <wp:inline xmlns:a="http://schemas.openxmlformats.org/drawingml/2006/main" xmlns:pic="http://schemas.openxmlformats.org/drawingml/2006/picture">
            <wp:extent cx="3240000" cy="216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20"/>
                    <a:stretch>
                      <a:fillRect/>
                    </a:stretch>
                  </pic:blipFill>
                  <pic:spPr>
                    <a:xfrm>
                      <a:off x="0" y="0"/>
                      <a:ext cx="3240000" cy="2160000"/>
                    </a:xfrm>
                    <a:prstGeom prst="rect"/>
                  </pic:spPr>
                </pic:pic>
              </a:graphicData>
            </a:graphic>
          </wp:inline>
        </w:drawing>
      </w:r>
    </w:p>
    <w:p>
      <w:pPr>
        <w:pStyle w:val="Heading30"/>
      </w:pPr>
      <w:r>
        <w:t>Portfolio Allocations</w:t>
      </w:r>
    </w:p>
    <w:p>
      <w:r>
        <w:drawing>
          <wp:inline xmlns:a="http://schemas.openxmlformats.org/drawingml/2006/main" xmlns:pic="http://schemas.openxmlformats.org/drawingml/2006/picture">
            <wp:extent cx="3240000" cy="1800000"/>
            <wp:docPr id="3" name="Picture 3"/>
            <wp:cNvGraphicFramePr>
              <a:graphicFrameLocks noChangeAspect="1"/>
            </wp:cNvGraphicFramePr>
            <a:graphic>
              <a:graphicData uri="http://schemas.openxmlformats.org/drawingml/2006/picture">
                <pic:pic>
                  <pic:nvPicPr>
                    <pic:cNvPr id="0" name="3_Alloc_Ranges.png"/>
                    <pic:cNvPicPr/>
                  </pic:nvPicPr>
                  <pic:blipFill>
                    <a:blip r:embed="rId21"/>
                    <a:stretch>
                      <a:fillRect/>
                    </a:stretch>
                  </pic:blipFill>
                  <pic:spPr>
                    <a:xfrm>
                      <a:off x="0" y="0"/>
                      <a:ext cx="3240000" cy="1800000"/>
                    </a:xfrm>
                    <a:prstGeom prst="rect"/>
                  </pic:spPr>
                </pic:pic>
              </a:graphicData>
            </a:graphic>
          </wp:inline>
        </w:drawing>
      </w:r>
    </w:p>
    <w:br w:type="column"/>
    <w:p>
      <w:pPr>
        <w:pStyle w:val="Heading30"/>
      </w:pPr>
      <w:r>
        <w:t>Portfolio Construction</w:t>
      </w:r>
    </w:p>
    <w:p>
      <w:r>
        <w:drawing>
          <wp:inline xmlns:a="http://schemas.openxmlformats.org/drawingml/2006/main" xmlns:pic="http://schemas.openxmlformats.org/drawingml/2006/picture">
            <wp:extent cx="3240000" cy="3240000"/>
            <wp:docPr id="4" name="Picture 4"/>
            <wp:cNvGraphicFramePr>
              <a:graphicFrameLocks noChangeAspect="1"/>
            </wp:cNvGraphicFramePr>
            <a:graphic>
              <a:graphicData uri="http://schemas.openxmlformats.org/drawingml/2006/picture">
                <pic:pic>
                  <pic:nvPicPr>
                    <pic:cNvPr id="0" name="3_Alloc_Holding_Level_2.png"/>
                    <pic:cNvPicPr/>
                  </pic:nvPicPr>
                  <pic:blipFill>
                    <a:blip r:embed="rId22"/>
                    <a:stretch>
                      <a:fillRect/>
                    </a:stretch>
                  </pic:blipFill>
                  <pic:spPr>
                    <a:xfrm>
                      <a:off x="0" y="0"/>
                      <a:ext cx="3240000" cy="3240000"/>
                    </a:xfrm>
                    <a:prstGeom prst="rect"/>
                  </pic:spPr>
                </pic:pic>
              </a:graphicData>
            </a:graphic>
          </wp:inline>
        </w:drawing>
      </w:r>
    </w:p>
    <w:p>
      <w:pPr>
        <w:pStyle w:val="Heading30"/>
      </w:pPr>
      <w:r>
        <w:t>Correlations</w:t>
      </w:r>
    </w:p>
    <w:p>
      <w:r>
        <w:drawing>
          <wp:inline xmlns:a="http://schemas.openxmlformats.org/drawingml/2006/main" xmlns:pic="http://schemas.openxmlformats.org/drawingml/2006/picture">
            <wp:extent cx="3240000" cy="3240000"/>
            <wp:docPr id="5" name="Picture 5"/>
            <wp:cNvGraphicFramePr>
              <a:graphicFrameLocks noChangeAspect="1"/>
            </wp:cNvGraphicFramePr>
            <a:graphic>
              <a:graphicData uri="http://schemas.openxmlformats.org/drawingml/2006/picture">
                <pic:pic>
                  <pic:nvPicPr>
                    <pic:cNvPr id="0" name="6_Floating_MthCorrel.png"/>
                    <pic:cNvPicPr/>
                  </pic:nvPicPr>
                  <pic:blipFill>
                    <a:blip r:embed="rId23"/>
                    <a:stretch>
                      <a:fillRect/>
                    </a:stretch>
                  </pic:blipFill>
                  <pic:spPr>
                    <a:xfrm>
                      <a:off x="0" y="0"/>
                      <a:ext cx="3240000" cy="3240000"/>
                    </a:xfrm>
                    <a:prstGeom prst="rect"/>
                  </pic:spPr>
                </pic:pic>
              </a:graphicData>
            </a:graphic>
          </wp:inline>
        </w:drawing>
      </w:r>
    </w:p>
    <w:br w:type="column"/>
    <w:p>
      <w:pPr>
        <w:pStyle w:val="Heading30"/>
      </w:pPr>
      <w:r>
        <w:t>Underlying Manager Performance</w:t>
      </w:r>
    </w:p>
    <w:p>
      <w:r>
        <w:drawing>
          <wp:inline xmlns:a="http://schemas.openxmlformats.org/drawingml/2006/main" xmlns:pic="http://schemas.openxmlformats.org/drawingml/2006/picture">
            <wp:extent cx="3240000" cy="2880000"/>
            <wp:docPr id="6" name="Picture 6"/>
            <wp:cNvGraphicFramePr>
              <a:graphicFrameLocks noChangeAspect="1"/>
            </wp:cNvGraphicFramePr>
            <a:graphic>
              <a:graphicData uri="http://schemas.openxmlformats.org/drawingml/2006/picture">
                <pic:pic>
                  <pic:nvPicPr>
                    <pic:cNvPr id="0" name="6_Floating_Sleeve_Components.png"/>
                    <pic:cNvPicPr/>
                  </pic:nvPicPr>
                  <pic:blipFill>
                    <a:blip r:embed="rId24"/>
                    <a:stretch>
                      <a:fillRect/>
                    </a:stretch>
                  </pic:blipFill>
                  <pic:spPr>
                    <a:xfrm>
                      <a:off x="0" y="0"/>
                      <a:ext cx="3240000" cy="2880000"/>
                    </a:xfrm>
                    <a:prstGeom prst="rect"/>
                  </pic:spPr>
                </pic:pic>
              </a:graphicData>
            </a:graphic>
          </wp:inline>
        </w:drawing>
      </w:r>
    </w:p>
    <w:p>
      <w:pPr>
        <w:pStyle w:val="BodyStyle"/>
      </w:pPr>
      <w:r>
        <w:t xml:space="preserve"> </w:t>
      </w:r>
    </w:p>
    <w:tbl>
      <w:tblPr>
        <w:tblStyle w:val="AtchisonTable1"/>
        <w:tblW w:type="auto" w:w="0"/>
        <w:tblLook w:firstColumn="1" w:firstRow="1" w:lastColumn="0" w:lastRow="0" w:noHBand="0" w:noVBand="1" w:val="04A0"/>
      </w:tblPr>
      <w:tblGrid>
        <w:gridCol w:w="3685"/>
        <w:gridCol w:w="3685"/>
        <w:gridCol w:w="3685"/>
      </w:tblGrid>
      <w:tr>
        <w:tc>
          <w:tcPr>
            <w:tcW w:type="dxa" w:w="2268"/>
          </w:tcPr>
          <w:p>
            <w:r>
              <w:rPr>
                <w:b/>
              </w:rPr>
              <w:t>Strategy</w:t>
            </w:r>
          </w:p>
        </w:tc>
        <w:tc>
          <w:tcPr>
            <w:tcW w:type="dxa" w:w="1417"/>
          </w:tcPr>
          <w:p>
            <w:r>
              <w:rPr>
                <w:b/>
              </w:rPr>
              <w:t>1 Year</w:t>
            </w:r>
          </w:p>
        </w:tc>
        <w:tc>
          <w:tcPr>
            <w:tcW w:type="dxa" w:w="1417"/>
          </w:tcPr>
          <w:p>
            <w:r>
              <w:rPr>
                <w:b/>
              </w:rPr>
              <w:t>2 Years (p.a.)</w:t>
            </w:r>
          </w:p>
        </w:tc>
      </w:tr>
      <w:tr>
        <w:tc>
          <w:tcPr>
            <w:tcW w:type="dxa" w:w="2268"/>
          </w:tcPr>
          <w:p>
            <w:r>
              <w:t>VanEck FRN</w:t>
            </w:r>
          </w:p>
        </w:tc>
        <w:tc>
          <w:tcPr>
            <w:tcW w:type="dxa" w:w="1417"/>
          </w:tcPr>
          <w:p>
            <w:r>
              <w:t>4.97</w:t>
            </w:r>
          </w:p>
        </w:tc>
        <w:tc>
          <w:tcPr>
            <w:tcW w:type="dxa" w:w="1417"/>
          </w:tcPr>
          <w:p>
            <w:r>
              <w:t>5.09</w:t>
            </w:r>
          </w:p>
        </w:tc>
      </w:tr>
      <w:tr>
        <w:tc>
          <w:tcPr>
            <w:tcW w:type="dxa" w:w="2268"/>
          </w:tcPr>
          <w:p>
            <w:r>
              <w:t>iShares Enh Cash</w:t>
            </w:r>
          </w:p>
        </w:tc>
        <w:tc>
          <w:tcPr>
            <w:tcW w:type="dxa" w:w="1417"/>
          </w:tcPr>
          <w:p>
            <w:r>
              <w:t>4.67</w:t>
            </w:r>
          </w:p>
        </w:tc>
        <w:tc>
          <w:tcPr>
            <w:tcW w:type="dxa" w:w="1417"/>
          </w:tcPr>
          <w:p>
            <w:r>
              <w:t>4.57</w:t>
            </w:r>
          </w:p>
        </w:tc>
      </w:tr>
      <w:tr>
        <w:tc>
          <w:tcPr>
            <w:tcW w:type="dxa" w:w="2268"/>
          </w:tcPr>
          <w:p>
            <w:r>
              <w:t>Janus Div Credit</w:t>
            </w:r>
          </w:p>
        </w:tc>
        <w:tc>
          <w:tcPr>
            <w:tcW w:type="dxa" w:w="1417"/>
          </w:tcPr>
          <w:p>
            <w:r>
              <w:t>7.25</w:t>
            </w:r>
          </w:p>
        </w:tc>
        <w:tc>
          <w:tcPr>
            <w:tcW w:type="dxa" w:w="1417"/>
          </w:tcPr>
          <w:p>
            <w:r>
              <w:t>7.08</w:t>
            </w:r>
          </w:p>
        </w:tc>
      </w:tr>
      <w:tr>
        <w:tc>
          <w:tcPr>
            <w:tcW w:type="dxa" w:w="2268"/>
          </w:tcPr>
          <w:p>
            <w:r>
              <w:t>Daintree Core Inc</w:t>
            </w:r>
          </w:p>
        </w:tc>
        <w:tc>
          <w:tcPr>
            <w:tcW w:type="dxa" w:w="1417"/>
          </w:tcPr>
          <w:p>
            <w:r>
              <w:t>6.06</w:t>
            </w:r>
          </w:p>
        </w:tc>
        <w:tc>
          <w:tcPr>
            <w:tcW w:type="dxa" w:w="1417"/>
          </w:tcPr>
          <w:p>
            <w:r>
              <w:t>7.22</w:t>
            </w:r>
          </w:p>
        </w:tc>
      </w:tr>
      <w:tr>
        <w:tc>
          <w:tcPr>
            <w:tcW w:type="dxa" w:w="2268"/>
          </w:tcPr>
          <w:p>
            <w:r>
              <w:t>Bentham Global Inc</w:t>
            </w:r>
          </w:p>
        </w:tc>
        <w:tc>
          <w:tcPr>
            <w:tcW w:type="dxa" w:w="1417"/>
          </w:tcPr>
          <w:p>
            <w:r>
              <w:t>8.67</w:t>
            </w:r>
          </w:p>
        </w:tc>
        <w:tc>
          <w:tcPr>
            <w:tcW w:type="dxa" w:w="1417"/>
          </w:tcPr>
          <w:p>
            <w:r>
              <w:t>5.96</w:t>
            </w:r>
          </w:p>
        </w:tc>
      </w:tr>
      <w:tr>
        <w:tc>
          <w:tcPr>
            <w:tcW w:type="dxa" w:w="2268"/>
          </w:tcPr>
          <w:p>
            <w:r>
              <w:rPr>
                <w:b/>
              </w:rPr>
              <w:t>BM: Floating</w:t>
            </w:r>
          </w:p>
        </w:tc>
        <w:tc>
          <w:tcPr>
            <w:tcW w:type="dxa" w:w="1417"/>
          </w:tcPr>
          <w:p>
            <w:r>
              <w:rPr>
                <w:b/>
              </w:rPr>
              <w:t>4.97</w:t>
            </w:r>
          </w:p>
        </w:tc>
        <w:tc>
          <w:tcPr>
            <w:tcW w:type="dxa" w:w="1417"/>
          </w:tcPr>
          <w:p>
            <w:r>
              <w:rPr>
                <w:b/>
              </w:rPr>
              <w:t>5.09</w:t>
            </w:r>
          </w:p>
        </w:tc>
      </w:tr>
      <w:tr>
        <w:tc>
          <w:tcPr>
            <w:tcW w:type="dxa" w:w="2268"/>
          </w:tcPr>
          <w:p>
            <w:r>
              <w:t>Cash</w:t>
            </w:r>
          </w:p>
        </w:tc>
        <w:tc>
          <w:tcPr>
            <w:tcW w:type="dxa" w:w="1417"/>
          </w:tcPr>
          <w:p>
            <w:r>
              <w:t>4.57</w:t>
            </w:r>
          </w:p>
        </w:tc>
        <w:tc>
          <w:tcPr>
            <w:tcW w:type="dxa" w:w="1417"/>
          </w:tcPr>
          <w:p>
            <w:r>
              <w:t>4.46</w:t>
            </w:r>
          </w:p>
        </w:tc>
      </w:tr>
    </w:tbl>
    <w:p>
      <w:pPr>
        <w:pStyle w:val="Note"/>
      </w:pPr>
      <w:r>
        <w:t>Inception Date: 31 December 2022</w:t>
      </w:r>
    </w:p>
    <w:p>
      <w:pPr>
        <w:pStyle w:val="BodyStyle"/>
      </w:pPr>
      <w:r>
        <w:t>Underlying investment manager returns are shown after fees and before tax</w:t>
      </w:r>
    </w:p>
    <w:br w:type="column"/>
    <w:p>
      <w:pPr>
        <w:pStyle w:val="Heading20"/>
      </w:pPr>
      <w:r>
        <w:t>Market Update</w:t>
      </w:r>
    </w:p>
    <w:p>
      <w:pPr>
        <w:pStyle w:val="BodyStyle"/>
      </w:pPr>
      <w:r>
        <w:t>Australian share market recorded its first monthly gain since January returning 3.6% for the month of April and 9.8% for the 12 months. The Australia market followed the lead from the US share market on news of trade deals.</w:t>
        <w:br/>
        <w:br/>
        <w:t>Australia copped a 10% US tariff on our exports, however only 5% of Australian exports go to the US. The bigger threat to Australian exports comes from reduced exports to China and Asia.</w:t>
        <w:br/>
        <w:br/>
        <w:t>10 out of 11 sectors in the S&amp;P/ASX 200 posted gains, led by Communication Services, Information Technology and Consumer Discretionary, each rising by 6%. Energy was the only sector to report a loss.</w:t>
        <w:br/>
        <w:br/>
        <w:t>China's manufacturing sector contracted in April, with the official PMI falling to 49.0, its lowest since December 2023, due to escalating U.S. tariffs and weakening export demand.</w:t>
        <w:br/>
        <w:br/>
        <w:t>Trump placed eye-watering 145% tariff on China but for most other nations a 90-day pause on reciprocal tariffs, leaving a 10% universal tariff in place.</w:t>
        <w:br/>
        <w:br/>
        <w:t>Global share markets plunged at the beginning of the month on worries about a full-blown trade war, The Trump Dump initially caused US shares to fall 17%, 16% globally and 10% in Australia. While gold surged to new highs.</w:t>
        <w:br/>
        <w:br/>
        <w:t>The Federal Open Market Committee (FOMC) left the Federal Funds Rate unchanged at the range of 4.25 – 4.50% at the March meeting and projected two rate cuts later this year.</w:t>
        <w:br/>
        <w:br/>
        <w:t xml:space="preserve">The RBA left interest rates on hold at 4.10%, but is expected to engage in another rate cut of 0.25% in May. Australia’s headline inflation (total inflation) remained steady in Q1 2025 at 2.4% annually, within the target band of 2 – 3%. </w:t>
        <w:br/>
        <w:br/>
        <w:t>Most fixed income indices advanced as rates declined on weaker economic growth expectations. The Australian Government 0+ index was among the best performers, rising by 2% for the month, with the index's yield falling to 4%.</w:t>
        <w:br/>
        <w:br/>
        <w:t>Gold maintained its winning streak in 2025, reaching historic peak of US$3,500 per ounce before experiencing volatility. A significant driver behind’s gold’s stellar performance has been the substantial decline in the US dollar.</w:t>
        <w:br/>
        <w:br/>
      </w:r>
    </w:p>
    <w:p>
      <w:pPr>
        <w:pStyle w:val="Heading20"/>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F110" w14:textId="77777777" w:rsidR="00EC1404" w:rsidRDefault="00EC1404" w:rsidP="007B4373">
      <w:r>
        <w:separator/>
      </w:r>
    </w:p>
  </w:endnote>
  <w:endnote w:type="continuationSeparator" w:id="0">
    <w:p w14:paraId="7A11A369" w14:textId="77777777" w:rsidR="00EC1404" w:rsidRDefault="00EC1404"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D7EB" w14:textId="77777777" w:rsidR="00EC1404" w:rsidRDefault="00EC1404" w:rsidP="007B4373">
      <w:r>
        <w:separator/>
      </w:r>
    </w:p>
  </w:footnote>
  <w:footnote w:type="continuationSeparator" w:id="0">
    <w:p w14:paraId="32251D29" w14:textId="77777777" w:rsidR="00EC1404" w:rsidRDefault="00EC1404"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3148"/>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4951"/>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3A9C"/>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08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3DAD"/>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0">
    <w:name w:val="Heading1"/>
    <w:basedOn w:val="Heading1"/>
    <w:qFormat/>
    <w:rsid w:val="008F3DAD"/>
    <w:pPr>
      <w:numPr>
        <w:numId w:val="0"/>
      </w:numPr>
      <w:spacing w:before="240" w:after="120"/>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Heading30">
    <w:name w:val="Heading3"/>
    <w:basedOn w:val="Normal"/>
    <w:link w:val="Heading3Char0"/>
    <w:qFormat/>
    <w:rsid w:val="00800868"/>
    <w:pPr>
      <w:spacing w:before="240"/>
    </w:pPr>
    <w:rPr>
      <w:b/>
      <w:i/>
      <w:color w:val="75C104" w:themeColor="accent6"/>
      <w:sz w:val="18"/>
    </w:rPr>
  </w:style>
  <w:style w:type="character" w:customStyle="1" w:styleId="Heading3Char0">
    <w:name w:val="Heading3 Char"/>
    <w:basedOn w:val="DefaultParagraphFont"/>
    <w:link w:val="Heading30"/>
    <w:rsid w:val="00800868"/>
    <w:rPr>
      <w:rFonts w:cs="Times New Roman (Body CS)"/>
      <w:b/>
      <w:i/>
      <w:color w:val="75C104" w:themeColor="accent6"/>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0">
    <w:name w:val="Heading2"/>
    <w:basedOn w:val="Heading2-nonumbers"/>
    <w:qFormat/>
    <w:rsid w:val="008F3DAD"/>
    <w:pPr>
      <w:spacing w:before="240"/>
    </w:pPr>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170</cp:revision>
  <cp:lastPrinted>2022-04-29T02:04:00Z</cp:lastPrinted>
  <dcterms:created xsi:type="dcterms:W3CDTF">2022-07-06T04:09:00Z</dcterms:created>
  <dcterms:modified xsi:type="dcterms:W3CDTF">2025-02-18T15:08:00Z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