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Floating Rate SMA</w:t>
        <w:br/>
        <w:t>Performance Report</w:t>
        <w:br/>
        <w:br/>
      </w:r>
      <w:r>
        <w:rPr>
          <w:rFonts w:ascii="Arial" w:hAnsi="Arial"/>
          <w:color w:val="75C104"/>
          <w:sz w:val="40"/>
        </w:rPr>
        <w:t>30 April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