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Floating Rate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AtchisonFloatingRate</w:t>
            </w:r>
          </w:p>
        </w:tc>
        <w:tc>
          <w:tcPr>
            <w:tcW w:type="dxa" w:w="1644"/>
          </w:tcPr>
          <w:p>
            <w:r>
              <w:rPr>
                <w:b/>
              </w:rPr>
              <w:t>1.18</w:t>
            </w:r>
          </w:p>
        </w:tc>
        <w:tc>
          <w:tcPr>
            <w:tcW w:type="dxa" w:w="1644"/>
          </w:tcPr>
          <w:p>
            <w:r>
              <w:rPr>
                <w:b/>
              </w:rPr>
              <w:t>2.2</w:t>
            </w:r>
          </w:p>
        </w:tc>
        <w:tc>
          <w:tcPr>
            <w:tcW w:type="dxa" w:w="1644"/>
          </w:tcPr>
          <w:p>
            <w:r>
              <w:rPr>
                <w:b/>
              </w:rPr>
              <w:t>4.92</w:t>
            </w:r>
          </w:p>
        </w:tc>
        <w:tc>
          <w:tcPr>
            <w:tcW w:type="dxa" w:w="1644"/>
          </w:tcPr>
          <w:p>
            <w:r>
              <w:rPr>
                <w:b/>
              </w:rPr>
              <w:t>5.97</w:t>
            </w:r>
          </w:p>
        </w:tc>
        <w:tc>
          <w:tcPr>
            <w:tcW w:type="dxa" w:w="1644"/>
          </w:tcPr>
          <w:p>
            <w:r>
              <w:rPr>
                <w:b/>
              </w:rPr>
              <w:t>5.75</w:t>
            </w:r>
          </w:p>
        </w:tc>
      </w:tr>
      <w:tr>
        <w:tc>
          <w:tcPr>
            <w:tcW w:type="dxa" w:w="2551"/>
          </w:tcPr>
          <w:p>
            <w:r>
              <w:t>Peer Group</w:t>
            </w:r>
          </w:p>
        </w:tc>
        <w:tc>
          <w:tcPr>
            <w:tcW w:type="dxa" w:w="1644"/>
          </w:tcPr>
          <w:p>
            <w:r>
              <w:t>1.31</w:t>
            </w:r>
          </w:p>
        </w:tc>
        <w:tc>
          <w:tcPr>
            <w:tcW w:type="dxa" w:w="1644"/>
          </w:tcPr>
          <w:p>
            <w:r>
              <w:t>2.29</w:t>
            </w:r>
          </w:p>
        </w:tc>
        <w:tc>
          <w:tcPr>
            <w:tcW w:type="dxa" w:w="1644"/>
          </w:tcPr>
          <w:p>
            <w:r>
              <w:t>4.24</w:t>
            </w:r>
          </w:p>
        </w:tc>
        <w:tc>
          <w:tcPr>
            <w:tcW w:type="dxa" w:w="1644"/>
          </w:tcPr>
          <w:p>
            <w:r>
              <w:t>4.65</w:t>
            </w:r>
          </w:p>
        </w:tc>
        <w:tc>
          <w:tcPr>
            <w:tcW w:type="dxa" w:w="1644"/>
          </w:tcPr>
          <w:p>
            <w:r>
              <w:t>4.58</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-0.13</w:t>
            </w:r>
          </w:p>
        </w:tc>
        <w:tc>
          <w:tcPr>
            <w:tcW w:type="dxa" w:w="1644"/>
          </w:tcPr>
          <w:p>
            <w:r>
              <w:t>-0.09</w:t>
            </w:r>
          </w:p>
        </w:tc>
        <w:tc>
          <w:tcPr>
            <w:tcW w:type="dxa" w:w="1644"/>
          </w:tcPr>
          <w:p>
            <w:r>
              <w:t>0.68</w:t>
            </w:r>
          </w:p>
        </w:tc>
        <w:tc>
          <w:tcPr>
            <w:tcW w:type="dxa" w:w="1644"/>
          </w:tcPr>
          <w:p>
            <w:r>
              <w:t>1.32</w:t>
            </w:r>
          </w:p>
        </w:tc>
        <w:tc>
          <w:tcPr>
            <w:tcW w:type="dxa" w:w="1644"/>
          </w:tcPr>
          <w:p>
            <w:r>
              <w:t>1.17</w:t>
            </w:r>
          </w:p>
        </w:tc>
      </w:tr>
      <w:tr>
        <w:tc>
          <w:tcPr>
            <w:tcW w:type="dxa" w:w="2551"/>
          </w:tcPr>
          <w:p>
            <w:r>
              <w:t>Outperformance vs Inflation</w:t>
            </w:r>
          </w:p>
        </w:tc>
        <w:tc>
          <w:tcPr>
            <w:tcW w:type="dxa" w:w="1644"/>
          </w:tcPr>
          <w:p>
            <w:r>
              <w:t>1.57</w:t>
            </w:r>
          </w:p>
        </w:tc>
        <w:tc>
          <w:tcPr>
            <w:tcW w:type="dxa" w:w="1644"/>
          </w:tcPr>
          <w:p>
            <w:r>
              <w:t>1.46</w:t>
            </w:r>
          </w:p>
        </w:tc>
        <w:tc>
          <w:tcPr>
            <w:tcW w:type="dxa" w:w="1644"/>
          </w:tcPr>
          <w:p>
            <w:r>
              <w:t>3.02</w:t>
            </w:r>
          </w:p>
        </w:tc>
        <w:tc>
          <w:tcPr>
            <w:tcW w:type="dxa" w:w="1644"/>
          </w:tcPr>
          <w:p>
            <w:r>
              <w:t>3.69</w:t>
            </w:r>
          </w:p>
        </w:tc>
        <w:tc>
          <w:tcPr>
            <w:tcW w:type="dxa" w:w="1644"/>
          </w:tcPr>
          <w:p>
            <w:r>
              <w:t>3.33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three-year periods.</w:t>
      </w:r>
    </w:p>
    <w:p>
      <w:pPr>
        <w:pStyle w:val="Heading20"/>
      </w:pPr>
      <w:r>
        <w:t>Strategy Overview</w:t>
      </w:r>
    </w:p>
    <w:p>
      <w:pPr>
        <w:pStyle w:val="BodyStyle"/>
      </w:pPr>
      <w:r>
        <w:t>The Atchison Active Floating Rate Portfolio offers a bespoke solution as part of your defensive bond asset class allocation. Focusing on floating rate bank securities, asset backed securities and diversified credit strategies that pay a variable (or “floating” ) interest rate, typically with a duration of less than three years.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Floating Rate</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3 Years</w:t>
            </w:r>
          </w:p>
        </w:tc>
      </w:tr>
      <w:tr>
        <w:tc>
          <w:tcPr>
            <w:tcW w:type="dxa" w:w="2268"/>
          </w:tcPr>
          <w:p>
            <w:r>
              <w:t>Risk Level (SRM)</w:t>
            </w:r>
          </w:p>
        </w:tc>
        <w:tc>
          <w:tcPr>
            <w:tcW w:type="dxa" w:w="3118"/>
          </w:tcPr>
          <w:p>
            <w:r>
              <w:t>Low to 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0.37%</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Floating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Floating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VanEck FRN</w:t>
            </w:r>
          </w:p>
        </w:tc>
        <w:tc>
          <w:tcPr>
            <w:tcW w:type="dxa" w:w="1417"/>
          </w:tcPr>
          <w:p>
            <w:r>
              <w:t>5.28</w:t>
            </w:r>
          </w:p>
        </w:tc>
        <w:tc>
          <w:tcPr>
            <w:tcW w:type="dxa" w:w="1417"/>
          </w:tcPr>
          <w:p>
            <w:r>
              <w:t>5.21</w:t>
            </w:r>
          </w:p>
        </w:tc>
      </w:tr>
      <w:tr>
        <w:tc>
          <w:tcPr>
            <w:tcW w:type="dxa" w:w="2268"/>
          </w:tcPr>
          <w:p>
            <w:r>
              <w:t>iShares Enh Cash</w:t>
            </w:r>
          </w:p>
        </w:tc>
        <w:tc>
          <w:tcPr>
            <w:tcW w:type="dxa" w:w="1417"/>
          </w:tcPr>
          <w:p>
            <w:r>
              <w:t>4.46</w:t>
            </w:r>
          </w:p>
        </w:tc>
        <w:tc>
          <w:tcPr>
            <w:tcW w:type="dxa" w:w="1417"/>
          </w:tcPr>
          <w:p>
            <w:r>
              <w:t>4.53</w:t>
            </w:r>
          </w:p>
        </w:tc>
      </w:tr>
      <w:tr>
        <w:tc>
          <w:tcPr>
            <w:tcW w:type="dxa" w:w="2268"/>
          </w:tcPr>
          <w:p>
            <w:r>
              <w:t>Janus Div Credit</w:t>
            </w:r>
          </w:p>
        </w:tc>
        <w:tc>
          <w:tcPr>
            <w:tcW w:type="dxa" w:w="1417"/>
          </w:tcPr>
          <w:p>
            <w:r>
              <w:t>6.81</w:t>
            </w:r>
          </w:p>
        </w:tc>
        <w:tc>
          <w:tcPr>
            <w:tcW w:type="dxa" w:w="1417"/>
          </w:tcPr>
          <w:p>
            <w:r>
              <w:t>7.04</w:t>
            </w:r>
          </w:p>
        </w:tc>
      </w:tr>
      <w:tr>
        <w:tc>
          <w:tcPr>
            <w:tcW w:type="dxa" w:w="2268"/>
          </w:tcPr>
          <w:p>
            <w:r>
              <w:t>Daintree Core Inc</w:t>
            </w:r>
          </w:p>
        </w:tc>
        <w:tc>
          <w:tcPr>
            <w:tcW w:type="dxa" w:w="1417"/>
          </w:tcPr>
          <w:p>
            <w:r>
              <w:t>6.07</w:t>
            </w:r>
          </w:p>
        </w:tc>
        <w:tc>
          <w:tcPr>
            <w:tcW w:type="dxa" w:w="1417"/>
          </w:tcPr>
          <w:p>
            <w:r>
              <w:t>7.26</w:t>
            </w:r>
          </w:p>
        </w:tc>
      </w:tr>
      <w:tr>
        <w:tc>
          <w:tcPr>
            <w:tcW w:type="dxa" w:w="2268"/>
          </w:tcPr>
          <w:p>
            <w:r>
              <w:t>Bentham Global Inc</w:t>
            </w:r>
          </w:p>
        </w:tc>
        <w:tc>
          <w:tcPr>
            <w:tcW w:type="dxa" w:w="1417"/>
          </w:tcPr>
          <w:p>
            <w:r>
              <w:t>2.74</w:t>
            </w:r>
          </w:p>
        </w:tc>
        <w:tc>
          <w:tcPr>
            <w:tcW w:type="dxa" w:w="1417"/>
          </w:tcPr>
          <w:p>
            <w:r>
              <w:t>6.79</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