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International Shares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AtchisonIntShares</w:t>
            </w:r>
          </w:p>
        </w:tc>
        <w:tc>
          <w:tcPr>
            <w:tcW w:type="dxa" w:w="1644"/>
          </w:tcPr>
          <w:p>
            <w:r>
              <w:rPr>
                <w:b/>
              </w:rPr>
              <w:t>4.22</w:t>
            </w:r>
          </w:p>
        </w:tc>
        <w:tc>
          <w:tcPr>
            <w:tcW w:type="dxa" w:w="1644"/>
          </w:tcPr>
          <w:p>
            <w:r>
              <w:rPr>
                <w:b/>
              </w:rPr>
              <w:t>8.81</w:t>
            </w:r>
          </w:p>
        </w:tc>
        <w:tc>
          <w:tcPr>
            <w:tcW w:type="dxa" w:w="1644"/>
          </w:tcPr>
          <w:p>
            <w:r>
              <w:rPr>
                <w:b/>
              </w:rPr>
              <w:t>14.49</w:t>
            </w:r>
          </w:p>
        </w:tc>
        <w:tc>
          <w:tcPr>
            <w:tcW w:type="dxa" w:w="1644"/>
          </w:tcPr>
          <w:p>
            <w:r>
              <w:rPr>
                <w:b/>
              </w:rPr>
              <w:t>19.69</w:t>
            </w:r>
          </w:p>
        </w:tc>
        <w:tc>
          <w:tcPr>
            <w:tcW w:type="dxa" w:w="1644"/>
          </w:tcPr>
          <w:p>
            <w:r>
              <w:rPr>
                <w:b/>
              </w:rPr>
              <w:t>19.4</w:t>
            </w:r>
          </w:p>
        </w:tc>
      </w:tr>
      <w:tr>
        <w:tc>
          <w:tcPr>
            <w:tcW w:type="dxa" w:w="2551"/>
          </w:tcPr>
          <w:p>
            <w:r>
              <w:t>Peer Group</w:t>
            </w:r>
          </w:p>
        </w:tc>
        <w:tc>
          <w:tcPr>
            <w:tcW w:type="dxa" w:w="1644"/>
          </w:tcPr>
          <w:p>
            <w:r>
              <w:t>3.79</w:t>
            </w:r>
          </w:p>
        </w:tc>
        <w:tc>
          <w:tcPr>
            <w:tcW w:type="dxa" w:w="1644"/>
          </w:tcPr>
          <w:p>
            <w:r>
              <w:t>9.57</w:t>
            </w:r>
          </w:p>
        </w:tc>
        <w:tc>
          <w:tcPr>
            <w:tcW w:type="dxa" w:w="1644"/>
          </w:tcPr>
          <w:p>
            <w:r>
              <w:t>16.17</w:t>
            </w:r>
          </w:p>
        </w:tc>
        <w:tc>
          <w:tcPr>
            <w:tcW w:type="dxa" w:w="1644"/>
          </w:tcPr>
          <w:p>
            <w:r>
              <w:t>17.46</w:t>
            </w:r>
          </w:p>
        </w:tc>
        <w:tc>
          <w:tcPr>
            <w:tcW w:type="dxa" w:w="1644"/>
          </w:tcPr>
          <w:p>
            <w:r>
              <w:t>17.39</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0.44</w:t>
            </w:r>
          </w:p>
        </w:tc>
        <w:tc>
          <w:tcPr>
            <w:tcW w:type="dxa" w:w="1644"/>
          </w:tcPr>
          <w:p>
            <w:r>
              <w:t>-0.75</w:t>
            </w:r>
          </w:p>
        </w:tc>
        <w:tc>
          <w:tcPr>
            <w:tcW w:type="dxa" w:w="1644"/>
          </w:tcPr>
          <w:p>
            <w:r>
              <w:t>-1.68</w:t>
            </w:r>
          </w:p>
        </w:tc>
        <w:tc>
          <w:tcPr>
            <w:tcW w:type="dxa" w:w="1644"/>
          </w:tcPr>
          <w:p>
            <w:r>
              <w:t>2.23</w:t>
            </w:r>
          </w:p>
        </w:tc>
        <w:tc>
          <w:tcPr>
            <w:tcW w:type="dxa" w:w="1644"/>
          </w:tcPr>
          <w:p>
            <w:r>
              <w:t>2.0</w:t>
            </w:r>
          </w:p>
        </w:tc>
      </w:tr>
      <w:tr>
        <w:tc>
          <w:tcPr>
            <w:tcW w:type="dxa" w:w="2551"/>
          </w:tcPr>
          <w:p>
            <w:r>
              <w:t>Outperformance vs Inflation</w:t>
            </w:r>
          </w:p>
        </w:tc>
        <w:tc>
          <w:tcPr>
            <w:tcW w:type="dxa" w:w="1644"/>
          </w:tcPr>
          <w:p>
            <w:r>
              <w:t>4.23</w:t>
            </w:r>
          </w:p>
        </w:tc>
        <w:tc>
          <w:tcPr>
            <w:tcW w:type="dxa" w:w="1644"/>
          </w:tcPr>
          <w:p>
            <w:r>
              <w:t>7.47</w:t>
            </w:r>
          </w:p>
        </w:tc>
        <w:tc>
          <w:tcPr>
            <w:tcW w:type="dxa" w:w="1644"/>
          </w:tcPr>
          <w:p>
            <w:r>
              <w:t>12.44</w:t>
            </w:r>
          </w:p>
        </w:tc>
        <w:tc>
          <w:tcPr>
            <w:tcW w:type="dxa" w:w="1644"/>
          </w:tcPr>
          <w:p>
            <w:r>
              <w:t>17.61</w:t>
            </w:r>
          </w:p>
        </w:tc>
        <w:tc>
          <w:tcPr>
            <w:tcW w:type="dxa" w:w="1644"/>
          </w:tcPr>
          <w:p>
            <w:r>
              <w:t>16.75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Global Peer Index, after underlying manager fees and before tax, over rolling five-year periods.</w:t>
      </w:r>
    </w:p>
    <w:p>
      <w:pPr>
        <w:pStyle w:val="Heading20"/>
      </w:pPr>
      <w:r>
        <w:t>Strategy Overview</w:t>
      </w:r>
    </w:p>
    <w:p>
      <w:pPr>
        <w:pStyle w:val="BodyStyle"/>
      </w:pPr>
      <w:r>
        <w:t>The Atchison Active International Shares Portfolio offers an all-in-one solution for your international shares, investing across, fund managers, low-cost ETF’s, investment styles, factors, sectors, and countries. The portfolio is continuously reviewed and adjusted to ensure it remains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International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Global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0.04%</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Int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Int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US 500</w:t>
            </w:r>
          </w:p>
        </w:tc>
        <w:tc>
          <w:tcPr>
            <w:tcW w:type="dxa" w:w="1417"/>
          </w:tcPr>
          <w:p>
            <w:r>
              <w:t>23.27</w:t>
            </w:r>
          </w:p>
        </w:tc>
        <w:tc>
          <w:tcPr>
            <w:tcW w:type="dxa" w:w="1417"/>
          </w:tcPr>
          <w:p>
            <w:r>
              <w:t>24.42</w:t>
            </w:r>
          </w:p>
        </w:tc>
      </w:tr>
      <w:tr>
        <w:tc>
          <w:tcPr>
            <w:tcW w:type="dxa" w:w="2268"/>
          </w:tcPr>
          <w:p>
            <w:r>
              <w:t>iShares US 500 Hedged</w:t>
            </w:r>
          </w:p>
        </w:tc>
        <w:tc>
          <w:tcPr>
            <w:tcW w:type="dxa" w:w="1417"/>
          </w:tcPr>
          <w:p>
            <w:r>
              <w:t>16.62</w:t>
            </w:r>
          </w:p>
        </w:tc>
        <w:tc>
          <w:tcPr>
            <w:tcW w:type="dxa" w:w="1417"/>
          </w:tcPr>
          <w:p>
            <w:r>
              <w:t>24.11</w:t>
            </w:r>
          </w:p>
        </w:tc>
      </w:tr>
      <w:tr>
        <w:tc>
          <w:tcPr>
            <w:tcW w:type="dxa" w:w="2268"/>
          </w:tcPr>
          <w:p>
            <w:r>
              <w:t>VG Europe Eq</w:t>
            </w:r>
          </w:p>
        </w:tc>
        <w:tc>
          <w:tcPr>
            <w:tcW w:type="dxa" w:w="1417"/>
          </w:tcPr>
          <w:p>
            <w:r>
              <w:t>18.79</w:t>
            </w:r>
          </w:p>
        </w:tc>
        <w:tc>
          <w:tcPr>
            <w:tcW w:type="dxa" w:w="1417"/>
          </w:tcPr>
          <w:p>
            <w:r>
              <w:t>18.54</w:t>
            </w:r>
          </w:p>
        </w:tc>
      </w:tr>
      <w:tr>
        <w:tc>
          <w:tcPr>
            <w:tcW w:type="dxa" w:w="2268"/>
          </w:tcPr>
          <w:p>
            <w:r>
              <w:t>GQG Global Eq</w:t>
            </w:r>
          </w:p>
        </w:tc>
        <w:tc>
          <w:tcPr>
            <w:tcW w:type="dxa" w:w="1417"/>
          </w:tcPr>
          <w:p>
            <w:r>
              <w:t>-1.09</w:t>
            </w:r>
          </w:p>
        </w:tc>
        <w:tc>
          <w:tcPr>
            <w:tcW w:type="dxa" w:w="1417"/>
          </w:tcPr>
          <w:p>
            <w:r>
              <w:t>11.68</w:t>
            </w:r>
          </w:p>
        </w:tc>
      </w:tr>
      <w:tr>
        <w:tc>
          <w:tcPr>
            <w:tcW w:type="dxa" w:w="2268"/>
          </w:tcPr>
          <w:p>
            <w:r>
              <w:t>Man GLG Asia</w:t>
            </w:r>
          </w:p>
        </w:tc>
        <w:tc>
          <w:tcPr>
            <w:tcW w:type="dxa" w:w="1417"/>
          </w:tcPr>
          <w:p>
            <w:r>
              <w:t>25.42</w:t>
            </w:r>
          </w:p>
        </w:tc>
        <w:tc>
          <w:tcPr>
            <w:tcW w:type="dxa" w:w="1417"/>
          </w:tcPr>
          <w:p>
            <w:r>
              <w:t>23.29</w:t>
            </w:r>
          </w:p>
        </w:tc>
      </w:tr>
      <w:tr>
        <w:tc>
          <w:tcPr>
            <w:tcW w:type="dxa" w:w="2268"/>
          </w:tcPr>
          <w:p>
            <w:r>
              <w:t>Fairlight Glob Small Mid</w:t>
            </w:r>
          </w:p>
        </w:tc>
        <w:tc>
          <w:tcPr>
            <w:tcW w:type="dxa" w:w="1417"/>
          </w:tcPr>
          <w:p>
            <w:r>
              <w:t>3.71</w:t>
            </w:r>
          </w:p>
        </w:tc>
        <w:tc>
          <w:tcPr>
            <w:tcW w:type="dxa" w:w="1417"/>
          </w:tcPr>
          <w:p>
            <w:r>
              <w:t>10.86</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