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Long Duration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AtchisonLongDuration</w:t>
            </w:r>
          </w:p>
        </w:tc>
        <w:tc>
          <w:tcPr>
            <w:tcW w:type="dxa" w:w="1644"/>
          </w:tcPr>
          <w:p>
            <w:r>
              <w:rPr>
                <w:b/>
              </w:rPr>
              <w:t>2.44</w:t>
            </w:r>
          </w:p>
        </w:tc>
        <w:tc>
          <w:tcPr>
            <w:tcW w:type="dxa" w:w="1644"/>
          </w:tcPr>
          <w:p>
            <w:r>
              <w:rPr>
                <w:b/>
              </w:rPr>
              <w:t>3.74</w:t>
            </w:r>
          </w:p>
        </w:tc>
        <w:tc>
          <w:tcPr>
            <w:tcW w:type="dxa" w:w="1644"/>
          </w:tcPr>
          <w:p>
            <w:r>
              <w:rPr>
                <w:b/>
              </w:rPr>
              <w:t>6.21</w:t>
            </w:r>
          </w:p>
        </w:tc>
        <w:tc>
          <w:tcPr>
            <w:tcW w:type="dxa" w:w="1644"/>
          </w:tcPr>
          <w:p>
            <w:r>
              <w:rPr>
                <w:b/>
              </w:rPr>
              <w:t>2.86</w:t>
            </w:r>
          </w:p>
        </w:tc>
        <w:tc>
          <w:tcPr>
            <w:tcW w:type="dxa" w:w="1644"/>
          </w:tcPr>
          <w:p>
            <w:r>
              <w:rPr>
                <w:b/>
              </w:rPr>
              <w:t>4.45</w:t>
            </w:r>
          </w:p>
        </w:tc>
      </w:tr>
      <w:tr>
        <w:tc>
          <w:tcPr>
            <w:tcW w:type="dxa" w:w="2551"/>
          </w:tcPr>
          <w:p>
            <w:r>
              <w:t>Peer Group</w:t>
            </w:r>
          </w:p>
        </w:tc>
        <w:tc>
          <w:tcPr>
            <w:tcW w:type="dxa" w:w="1644"/>
          </w:tcPr>
          <w:p>
            <w:r>
              <w:t>1.69</w:t>
            </w:r>
          </w:p>
        </w:tc>
        <w:tc>
          <w:tcPr>
            <w:tcW w:type="dxa" w:w="1644"/>
          </w:tcPr>
          <w:p>
            <w:r>
              <w:t>3.0</w:t>
            </w:r>
          </w:p>
        </w:tc>
        <w:tc>
          <w:tcPr>
            <w:tcW w:type="dxa" w:w="1644"/>
          </w:tcPr>
          <w:p>
            <w:r>
              <w:t>5.85</w:t>
            </w:r>
          </w:p>
        </w:tc>
        <w:tc>
          <w:tcPr>
            <w:tcW w:type="dxa" w:w="1644"/>
          </w:tcPr>
          <w:p>
            <w:r>
              <w:t>3.67</w:t>
            </w:r>
          </w:p>
        </w:tc>
        <w:tc>
          <w:tcPr>
            <w:tcW w:type="dxa" w:w="1644"/>
          </w:tcPr>
          <w:p>
            <w:r>
              <w:t>4.64</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0.75</w:t>
            </w:r>
          </w:p>
        </w:tc>
        <w:tc>
          <w:tcPr>
            <w:tcW w:type="dxa" w:w="1644"/>
          </w:tcPr>
          <w:p>
            <w:r>
              <w:t>0.74</w:t>
            </w:r>
          </w:p>
        </w:tc>
        <w:tc>
          <w:tcPr>
            <w:tcW w:type="dxa" w:w="1644"/>
          </w:tcPr>
          <w:p>
            <w:r>
              <w:t>0.36</w:t>
            </w:r>
          </w:p>
        </w:tc>
        <w:tc>
          <w:tcPr>
            <w:tcW w:type="dxa" w:w="1644"/>
          </w:tcPr>
          <w:p>
            <w:r>
              <w:t>-0.81</w:t>
            </w:r>
          </w:p>
        </w:tc>
        <w:tc>
          <w:tcPr>
            <w:tcW w:type="dxa" w:w="1644"/>
          </w:tcPr>
          <w:p>
            <w:r>
              <w:t>-0.19</w:t>
            </w:r>
          </w:p>
        </w:tc>
      </w:tr>
      <w:tr>
        <w:tc>
          <w:tcPr>
            <w:tcW w:type="dxa" w:w="2551"/>
          </w:tcPr>
          <w:p>
            <w:r>
              <w:t>Outperformance vs Inflation</w:t>
            </w:r>
          </w:p>
        </w:tc>
        <w:tc>
          <w:tcPr>
            <w:tcW w:type="dxa" w:w="1644"/>
          </w:tcPr>
          <w:p>
            <w:r>
              <w:t>1.84</w:t>
            </w:r>
          </w:p>
        </w:tc>
        <w:tc>
          <w:tcPr>
            <w:tcW w:type="dxa" w:w="1644"/>
          </w:tcPr>
          <w:p>
            <w:r>
              <w:t>2.53</w:t>
            </w:r>
          </w:p>
        </w:tc>
        <w:tc>
          <w:tcPr>
            <w:tcW w:type="dxa" w:w="1644"/>
          </w:tcPr>
          <w:p>
            <w:r>
              <w:t>2.97</w:t>
            </w:r>
          </w:p>
        </w:tc>
        <w:tc>
          <w:tcPr>
            <w:tcW w:type="dxa" w:w="1644"/>
          </w:tcPr>
          <w:p>
            <w:r>
              <w:t>-0.64</w:t>
            </w:r>
          </w:p>
        </w:tc>
        <w:tc>
          <w:tcPr>
            <w:tcW w:type="dxa" w:w="1644"/>
          </w:tcPr>
          <w:p>
            <w:r>
              <w:t>0.82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Fixed Int – Global Bond Peer Index, after underlying manager fees and before tax, over rolling five-year periods.</w:t>
      </w:r>
    </w:p>
    <w:p>
      <w:pPr>
        <w:pStyle w:val="Heading20"/>
      </w:pPr>
      <w:r>
        <w:t>Strategy Overview</w:t>
      </w:r>
    </w:p>
    <w:p>
      <w:pPr>
        <w:pStyle w:val="BodyStyle"/>
      </w:pPr>
      <w:r>
        <w:t>The Atchison Active Long Duration Portfolio offers a bespoke solution as part of your defensive bond asset allocation. Investing across a broad spectrum of bonds and structures, the portfolio combines fixed income assets with duration exceeding three years to deliver a diversified fixed income solution.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Long Duration</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Fixed Int – Global Bond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5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0.30%</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Duration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Duration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Aus Bond</w:t>
            </w:r>
          </w:p>
        </w:tc>
        <w:tc>
          <w:tcPr>
            <w:tcW w:type="dxa" w:w="1417"/>
          </w:tcPr>
          <w:p>
            <w:r>
              <w:t>7.0</w:t>
            </w:r>
          </w:p>
        </w:tc>
        <w:tc>
          <w:tcPr>
            <w:tcW w:type="dxa" w:w="1417"/>
          </w:tcPr>
          <w:p>
            <w:r>
              <w:t>3.02</w:t>
            </w:r>
          </w:p>
        </w:tc>
      </w:tr>
      <w:tr>
        <w:tc>
          <w:tcPr>
            <w:tcW w:type="dxa" w:w="2268"/>
          </w:tcPr>
          <w:p>
            <w:r>
              <w:t>iShares CPI Bond</w:t>
            </w:r>
          </w:p>
        </w:tc>
        <w:tc>
          <w:tcPr>
            <w:tcW w:type="dxa" w:w="1417"/>
          </w:tcPr>
          <w:p>
            <w:r>
              <w:t>2.28</w:t>
            </w:r>
          </w:p>
        </w:tc>
        <w:tc>
          <w:tcPr>
            <w:tcW w:type="dxa" w:w="1417"/>
          </w:tcPr>
          <w:p>
            <w:r>
              <w:t>1.19</w:t>
            </w:r>
          </w:p>
        </w:tc>
      </w:tr>
      <w:tr>
        <w:tc>
          <w:tcPr>
            <w:tcW w:type="dxa" w:w="2268"/>
          </w:tcPr>
          <w:p>
            <w:r>
              <w:t>iShares Globa Agg ESG</w:t>
            </w:r>
          </w:p>
        </w:tc>
        <w:tc>
          <w:tcPr>
            <w:tcW w:type="dxa" w:w="1417"/>
          </w:tcPr>
          <w:p>
            <w:r>
              <w:t>6.32</w:t>
            </w:r>
          </w:p>
        </w:tc>
        <w:tc>
          <w:tcPr>
            <w:tcW w:type="dxa" w:w="1417"/>
          </w:tcPr>
          <w:p>
            <w:r>
              <w:t>3.12</w:t>
            </w:r>
          </w:p>
        </w:tc>
      </w:tr>
      <w:tr>
        <w:tc>
          <w:tcPr>
            <w:tcW w:type="dxa" w:w="2268"/>
          </w:tcPr>
          <w:p>
            <w:r>
              <w:t>WA Aus Bond</w:t>
            </w:r>
          </w:p>
        </w:tc>
        <w:tc>
          <w:tcPr>
            <w:tcW w:type="dxa" w:w="1417"/>
          </w:tcPr>
          <w:p>
            <w:r>
              <w:t>7.62</w:t>
            </w:r>
          </w:p>
        </w:tc>
        <w:tc>
          <w:tcPr>
            <w:tcW w:type="dxa" w:w="1417"/>
          </w:tcPr>
          <w:p>
            <w:r>
              <w:t>3.65</w:t>
            </w:r>
          </w:p>
        </w:tc>
      </w:tr>
      <w:tr>
        <w:tc>
          <w:tcPr>
            <w:tcW w:type="dxa" w:w="2268"/>
          </w:tcPr>
          <w:p>
            <w:r>
              <w:t>Colchester Gov Bond</w:t>
            </w:r>
          </w:p>
        </w:tc>
        <w:tc>
          <w:tcPr>
            <w:tcW w:type="dxa" w:w="1417"/>
          </w:tcPr>
          <w:p>
            <w:r>
              <w:t>5.9</w:t>
            </w:r>
          </w:p>
        </w:tc>
        <w:tc>
          <w:tcPr>
            <w:tcW w:type="dxa" w:w="1417"/>
          </w:tcPr>
          <w:p>
            <w:r>
              <w:t>2.36</w:t>
            </w:r>
          </w:p>
        </w:tc>
      </w:tr>
      <w:tr>
        <w:tc>
          <w:tcPr>
            <w:tcW w:type="dxa" w:w="2268"/>
          </w:tcPr>
          <w:p>
            <w:r>
              <w:rPr>
                <w:b/>
              </w:rPr>
              <w:t>BM: Duration</w:t>
            </w:r>
          </w:p>
        </w:tc>
        <w:tc>
          <w:tcPr>
            <w:tcW w:type="dxa" w:w="1417"/>
          </w:tcPr>
          <w:p>
            <w:r>
              <w:rPr>
                <w:b/>
              </w:rPr>
              <w:t>6.68</w:t>
            </w:r>
          </w:p>
        </w:tc>
        <w:tc>
          <w:tcPr>
            <w:tcW w:type="dxa" w:w="1417"/>
          </w:tcPr>
          <w:p>
            <w:r>
              <w:rPr>
                <w:b/>
              </w:rPr>
              <w:t>3.1</w:t>
            </w:r>
          </w:p>
        </w:tc>
      </w:tr>
      <w:tr>
        <w:tc>
          <w:tcPr>
            <w:tcW w:type="dxa" w:w="2268"/>
          </w:tcPr>
          <w:p>
            <w:r>
              <w:t>Cash</w:t>
            </w:r>
          </w:p>
        </w:tc>
        <w:tc>
          <w:tcPr>
            <w:tcW w:type="dxa" w:w="1417"/>
          </w:tcPr>
          <w:p>
            <w:r>
              <w:t>4.57</w:t>
            </w:r>
          </w:p>
        </w:tc>
        <w:tc>
          <w:tcPr>
            <w:tcW w:type="dxa" w:w="1417"/>
          </w:tcPr>
          <w:p>
            <w:r>
              <w:t>4.46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