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Active Long Duration SMA</w:t>
      </w:r>
      <w:r>
        <w:tab/>
      </w:r>
      <w:r>
        <w:t>30 June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AtchisonLongDuration</w:t>
            </w:r>
          </w:p>
        </w:tc>
        <w:tc>
          <w:tcPr>
            <w:tcW w:type="dxa" w:w="1644"/>
          </w:tcPr>
          <w:p>
            <w:r>
              <w:rPr>
                <w:b/>
              </w:rPr>
              <w:t>2.09</w:t>
            </w:r>
          </w:p>
        </w:tc>
        <w:tc>
          <w:tcPr>
            <w:tcW w:type="dxa" w:w="1644"/>
          </w:tcPr>
          <w:p>
            <w:r>
              <w:rPr>
                <w:b/>
              </w:rPr>
              <w:t>3.51</w:t>
            </w:r>
          </w:p>
        </w:tc>
        <w:tc>
          <w:tcPr>
            <w:tcW w:type="dxa" w:w="1644"/>
          </w:tcPr>
          <w:p>
            <w:r>
              <w:rPr>
                <w:b/>
              </w:rPr>
              <w:t>5.86</w:t>
            </w:r>
          </w:p>
        </w:tc>
        <w:tc>
          <w:tcPr>
            <w:tcW w:type="dxa" w:w="1644"/>
          </w:tcPr>
          <w:p>
            <w:r>
              <w:rPr>
                <w:b/>
              </w:rPr>
              <w:t>4.41</w:t>
            </w:r>
          </w:p>
        </w:tc>
        <w:tc>
          <w:tcPr>
            <w:tcW w:type="dxa" w:w="1644"/>
          </w:tcPr>
          <w:p>
            <w:r>
              <w:rPr>
                <w:b/>
              </w:rPr>
              <w:t>4.3</w:t>
            </w:r>
          </w:p>
        </w:tc>
      </w:tr>
      <w:tr>
        <w:tc>
          <w:tcPr>
            <w:tcW w:type="dxa" w:w="2551"/>
          </w:tcPr>
          <w:p>
            <w:r>
              <w:t>Peer Group</w:t>
            </w:r>
          </w:p>
        </w:tc>
        <w:tc>
          <w:tcPr>
            <w:tcW w:type="dxa" w:w="1644"/>
          </w:tcPr>
          <w:p>
            <w:r>
              <w:t>1.85</w:t>
            </w:r>
          </w:p>
        </w:tc>
        <w:tc>
          <w:tcPr>
            <w:tcW w:type="dxa" w:w="1644"/>
          </w:tcPr>
          <w:p>
            <w:r>
              <w:t>3.12</w:t>
            </w:r>
          </w:p>
        </w:tc>
        <w:tc>
          <w:tcPr>
            <w:tcW w:type="dxa" w:w="1644"/>
          </w:tcPr>
          <w:p>
            <w:r>
              <w:t>5.73</w:t>
            </w:r>
          </w:p>
        </w:tc>
        <w:tc>
          <w:tcPr>
            <w:tcW w:type="dxa" w:w="1644"/>
          </w:tcPr>
          <w:p>
            <w:r>
              <w:t>4.78</w:t>
            </w:r>
          </w:p>
        </w:tc>
        <w:tc>
          <w:tcPr>
            <w:tcW w:type="dxa" w:w="1644"/>
          </w:tcPr>
          <w:p>
            <w:r>
              <w:t>4.77</w:t>
            </w:r>
          </w:p>
        </w:tc>
      </w:tr>
      <w:tr>
        <w:tc>
          <w:tcPr>
            <w:tcW w:type="dxa" w:w="2551"/>
          </w:tcPr>
          <w:p>
            <w:r>
              <w:t>Inflation</w:t>
            </w:r>
          </w:p>
        </w:tc>
        <w:tc>
          <w:tcPr>
            <w:tcW w:type="dxa" w:w="1644"/>
          </w:tcPr>
          <w:p>
            <w:r>
              <w:t>1.35</w:t>
            </w:r>
          </w:p>
        </w:tc>
        <w:tc>
          <w:tcPr>
            <w:tcW w:type="dxa" w:w="1644"/>
          </w:tcPr>
          <w:p>
            <w:r>
              <w:t>1.45</w:t>
            </w:r>
          </w:p>
        </w:tc>
        <w:tc>
          <w:tcPr>
            <w:tcW w:type="dxa" w:w="1644"/>
          </w:tcPr>
          <w:p>
            <w:r>
              <w:t>2.1</w:t>
            </w:r>
          </w:p>
        </w:tc>
        <w:tc>
          <w:tcPr>
            <w:tcW w:type="dxa" w:w="1644"/>
          </w:tcPr>
          <w:p>
            <w:r>
              <w:t>2.95</w:t>
            </w:r>
          </w:p>
        </w:tc>
        <w:tc>
          <w:tcPr>
            <w:tcW w:type="dxa" w:w="1644"/>
          </w:tcPr>
          <w:p>
            <w:r>
              <w:t>2.91</w:t>
            </w:r>
          </w:p>
        </w:tc>
      </w:tr>
      <w:tr>
        <w:tc>
          <w:tcPr>
            <w:tcW w:type="dxa" w:w="2551"/>
          </w:tcPr>
          <w:p>
            <w:r>
              <w:t>Outperformance vs Peers</w:t>
            </w:r>
          </w:p>
        </w:tc>
        <w:tc>
          <w:tcPr>
            <w:tcW w:type="dxa" w:w="1644"/>
          </w:tcPr>
          <w:p>
            <w:r>
              <w:t>0.24</w:t>
            </w:r>
          </w:p>
        </w:tc>
        <w:tc>
          <w:tcPr>
            <w:tcW w:type="dxa" w:w="1644"/>
          </w:tcPr>
          <w:p>
            <w:r>
              <w:t>0.39</w:t>
            </w:r>
          </w:p>
        </w:tc>
        <w:tc>
          <w:tcPr>
            <w:tcW w:type="dxa" w:w="1644"/>
          </w:tcPr>
          <w:p>
            <w:r>
              <w:t>0.13</w:t>
            </w:r>
          </w:p>
        </w:tc>
        <w:tc>
          <w:tcPr>
            <w:tcW w:type="dxa" w:w="1644"/>
          </w:tcPr>
          <w:p>
            <w:r>
              <w:t>-0.36</w:t>
            </w:r>
          </w:p>
        </w:tc>
        <w:tc>
          <w:tcPr>
            <w:tcW w:type="dxa" w:w="1644"/>
          </w:tcPr>
          <w:p>
            <w:r>
              <w:t>-0.47</w:t>
            </w:r>
          </w:p>
        </w:tc>
      </w:tr>
      <w:tr>
        <w:tc>
          <w:tcPr>
            <w:tcW w:type="dxa" w:w="2551"/>
          </w:tcPr>
          <w:p>
            <w:r>
              <w:t>Outperformance vs Inflation</w:t>
            </w:r>
          </w:p>
        </w:tc>
        <w:tc>
          <w:tcPr>
            <w:tcW w:type="dxa" w:w="1644"/>
          </w:tcPr>
          <w:p>
            <w:r>
              <w:t>0.74</w:t>
            </w:r>
          </w:p>
        </w:tc>
        <w:tc>
          <w:tcPr>
            <w:tcW w:type="dxa" w:w="1644"/>
          </w:tcPr>
          <w:p>
            <w:r>
              <w:t>2.06</w:t>
            </w:r>
          </w:p>
        </w:tc>
        <w:tc>
          <w:tcPr>
            <w:tcW w:type="dxa" w:w="1644"/>
          </w:tcPr>
          <w:p>
            <w:r>
              <w:t>3.75</w:t>
            </w:r>
          </w:p>
        </w:tc>
        <w:tc>
          <w:tcPr>
            <w:tcW w:type="dxa" w:w="1644"/>
          </w:tcPr>
          <w:p>
            <w:r>
              <w:t>1.47</w:t>
            </w:r>
          </w:p>
        </w:tc>
        <w:tc>
          <w:tcPr>
            <w:tcW w:type="dxa" w:w="1644"/>
          </w:tcPr>
          <w:p>
            <w:r>
              <w:t>1.39</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FE AMI Fixed Int – Global Bond Peer Index, after underlying manager fees and before tax, over rolling five-year periods.</w:t>
      </w:r>
    </w:p>
    <w:p>
      <w:pPr>
        <w:pStyle w:val="Heading20"/>
      </w:pPr>
      <w:r>
        <w:t>Strategy Overview</w:t>
      </w:r>
    </w:p>
    <w:p>
      <w:pPr>
        <w:pStyle w:val="BodyStyle"/>
      </w:pPr>
      <w:r>
        <w:t>The Atchison Active Long Duration Portfolio offers a bespoke solution as part of your defensive bond asset allocation. Investing across a broad spectrum of bonds and structures, the portfolio combines fixed income assets with duration exceeding three years to deliver a diversified fixed income solution.</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Long Duration</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Fixed Int – Global Bond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5 Years</w:t>
            </w:r>
          </w:p>
        </w:tc>
      </w:tr>
      <w:tr>
        <w:tc>
          <w:tcPr>
            <w:tcW w:type="dxa" w:w="2268"/>
          </w:tcPr>
          <w:p>
            <w:r>
              <w:t>Risk Level (SRM)</w:t>
            </w:r>
          </w:p>
        </w:tc>
        <w:tc>
          <w:tcPr>
            <w:tcW w:type="dxa" w:w="3118"/>
          </w:tcPr>
          <w:p>
            <w:r>
              <w:t>Medium</w:t>
            </w:r>
          </w:p>
        </w:tc>
      </w:tr>
      <w:tr>
        <w:tc>
          <w:tcPr>
            <w:tcW w:type="dxa" w:w="2268"/>
          </w:tcPr>
          <w:p>
            <w:r>
              <w:t>Min Investment</w:t>
            </w:r>
          </w:p>
        </w:tc>
        <w:tc>
          <w:tcPr>
            <w:tcW w:type="dxa" w:w="3118"/>
          </w:tcPr>
          <w:p>
            <w:r>
              <w:t>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0.30%</w:t>
            </w:r>
          </w:p>
        </w:tc>
      </w:tr>
      <w:tr>
        <w:tc>
          <w:tcPr>
            <w:tcW w:type="dxa" w:w="2268"/>
          </w:tcPr>
          <w:p>
            <w:r>
              <w:t>Underlying Perf Fees</w:t>
            </w:r>
          </w:p>
        </w:tc>
        <w:tc>
          <w:tcPr>
            <w:tcW w:type="dxa" w:w="3118"/>
          </w:tcPr>
          <w:p>
            <w:r>
              <w:t>0.00%</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Portfolio Construction</w:t>
      </w:r>
    </w:p>
    <w:p>
      <w:r>
        <w:drawing>
          <wp:inline xmlns:a="http://schemas.openxmlformats.org/drawingml/2006/main" xmlns:pic="http://schemas.openxmlformats.org/drawingml/2006/picture">
            <wp:extent cx="3240000" cy="3240000"/>
            <wp:docPr id="4" name="Picture 4"/>
            <wp:cNvGraphicFramePr>
              <a:graphicFrameLocks noChangeAspect="1"/>
            </wp:cNvGraphicFramePr>
            <a:graphic>
              <a:graphicData uri="http://schemas.openxmlformats.org/drawingml/2006/picture">
                <pic:pic>
                  <pic:nvPicPr>
                    <pic:cNvPr id="0" name="3_Alloc_Holding_Level_2.png"/>
                    <pic:cNvPicPr/>
                  </pic:nvPicPr>
                  <pic:blipFill>
                    <a:blip r:embed="rId22"/>
                    <a:stretch>
                      <a:fillRect/>
                    </a:stretch>
                  </pic:blipFill>
                  <pic:spPr>
                    <a:xfrm>
                      <a:off x="0" y="0"/>
                      <a:ext cx="3240000" cy="324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3240000"/>
            <wp:docPr id="5" name="Picture 5"/>
            <wp:cNvGraphicFramePr>
              <a:graphicFrameLocks noChangeAspect="1"/>
            </wp:cNvGraphicFramePr>
            <a:graphic>
              <a:graphicData uri="http://schemas.openxmlformats.org/drawingml/2006/picture">
                <pic:pic>
                  <pic:nvPicPr>
                    <pic:cNvPr id="0" name="6_Duration_MthCorrel.png"/>
                    <pic:cNvPicPr/>
                  </pic:nvPicPr>
                  <pic:blipFill>
                    <a:blip r:embed="rId23"/>
                    <a:stretch>
                      <a:fillRect/>
                    </a:stretch>
                  </pic:blipFill>
                  <pic:spPr>
                    <a:xfrm>
                      <a:off x="0" y="0"/>
                      <a:ext cx="3240000" cy="3240000"/>
                    </a:xfrm>
                    <a:prstGeom prst="rect"/>
                  </pic:spPr>
                </pic:pic>
              </a:graphicData>
            </a:graphic>
          </wp:inline>
        </w:drawing>
      </w:r>
    </w:p>
    <w:br w:type="column"/>
    <w:p>
      <w:pPr>
        <w:pStyle w:val="Heading30"/>
      </w:pPr>
      <w:r>
        <w:t>Underlying Manager Performance</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6_Duration_Sleeve_Components.png"/>
                    <pic:cNvPicPr/>
                  </pic:nvPicPr>
                  <pic:blipFill>
                    <a:blip r:embed="rId24"/>
                    <a:stretch>
                      <a:fillRect/>
                    </a:stretch>
                  </pic:blipFill>
                  <pic:spPr>
                    <a:xfrm>
                      <a:off x="0" y="0"/>
                      <a:ext cx="3240000" cy="2880000"/>
                    </a:xfrm>
                    <a:prstGeom prst="rect"/>
                  </pic:spPr>
                </pic:pic>
              </a:graphicData>
            </a:graphic>
          </wp:inline>
        </w:drawing>
      </w:r>
    </w:p>
    <w:p>
      <w:pPr>
        <w:pStyle w:val="BodyStyle"/>
      </w:pPr>
      <w:r>
        <w:t xml:space="preserve"> </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iShares Aus Bond</w:t>
            </w:r>
          </w:p>
        </w:tc>
        <w:tc>
          <w:tcPr>
            <w:tcW w:type="dxa" w:w="1417"/>
          </w:tcPr>
          <w:p>
            <w:r>
              <w:t>6.91</w:t>
            </w:r>
          </w:p>
        </w:tc>
        <w:tc>
          <w:tcPr>
            <w:tcW w:type="dxa" w:w="1417"/>
          </w:tcPr>
          <w:p>
            <w:r>
              <w:t>5.15</w:t>
            </w:r>
          </w:p>
        </w:tc>
      </w:tr>
      <w:tr>
        <w:tc>
          <w:tcPr>
            <w:tcW w:type="dxa" w:w="2268"/>
          </w:tcPr>
          <w:p>
            <w:r>
              <w:t>iShares CPI Bond</w:t>
            </w:r>
          </w:p>
        </w:tc>
        <w:tc>
          <w:tcPr>
            <w:tcW w:type="dxa" w:w="1417"/>
          </w:tcPr>
          <w:p>
            <w:r>
              <w:t>3.29</w:t>
            </w:r>
          </w:p>
        </w:tc>
        <w:tc>
          <w:tcPr>
            <w:tcW w:type="dxa" w:w="1417"/>
          </w:tcPr>
          <w:p>
            <w:r>
              <w:t>3.08</w:t>
            </w:r>
          </w:p>
        </w:tc>
      </w:tr>
      <w:tr>
        <w:tc>
          <w:tcPr>
            <w:tcW w:type="dxa" w:w="2268"/>
          </w:tcPr>
          <w:p>
            <w:r>
              <w:t>iShares Globa Agg ESG</w:t>
            </w:r>
          </w:p>
        </w:tc>
        <w:tc>
          <w:tcPr>
            <w:tcW w:type="dxa" w:w="1417"/>
          </w:tcPr>
          <w:p>
            <w:r>
              <w:t>4.99</w:t>
            </w:r>
          </w:p>
        </w:tc>
        <w:tc>
          <w:tcPr>
            <w:tcW w:type="dxa" w:w="1417"/>
          </w:tcPr>
          <w:p>
            <w:r>
              <w:t>3.87</w:t>
            </w:r>
          </w:p>
        </w:tc>
      </w:tr>
      <w:tr>
        <w:tc>
          <w:tcPr>
            <w:tcW w:type="dxa" w:w="2268"/>
          </w:tcPr>
          <w:p>
            <w:r>
              <w:t>WA Aus Bond</w:t>
            </w:r>
          </w:p>
        </w:tc>
        <w:tc>
          <w:tcPr>
            <w:tcW w:type="dxa" w:w="1417"/>
          </w:tcPr>
          <w:p>
            <w:r>
              <w:t>7.03</w:t>
            </w:r>
          </w:p>
        </w:tc>
        <w:tc>
          <w:tcPr>
            <w:tcW w:type="dxa" w:w="1417"/>
          </w:tcPr>
          <w:p>
            <w:r>
              <w:t>5.66</w:t>
            </w:r>
          </w:p>
        </w:tc>
      </w:tr>
      <w:tr>
        <w:tc>
          <w:tcPr>
            <w:tcW w:type="dxa" w:w="2268"/>
          </w:tcPr>
          <w:p>
            <w:r>
              <w:t>Colchester Gov Bond</w:t>
            </w:r>
          </w:p>
        </w:tc>
        <w:tc>
          <w:tcPr>
            <w:tcW w:type="dxa" w:w="1417"/>
          </w:tcPr>
          <w:p>
            <w:r>
              <w:t>5.3</w:t>
            </w:r>
          </w:p>
        </w:tc>
        <w:tc>
          <w:tcPr>
            <w:tcW w:type="dxa" w:w="1417"/>
          </w:tcPr>
          <w:p>
            <w:r>
              <w:t>2.67</w:t>
            </w:r>
          </w:p>
        </w:tc>
      </w:tr>
      <w:tr>
        <w:tc>
          <w:tcPr>
            <w:tcW w:type="dxa" w:w="2268"/>
          </w:tcPr>
          <w:p>
            <w:r>
              <w:rPr>
                <w:b/>
              </w:rPr>
              <w:t>BM: Duration</w:t>
            </w:r>
          </w:p>
        </w:tc>
        <w:tc>
          <w:tcPr>
            <w:tcW w:type="dxa" w:w="1417"/>
          </w:tcPr>
          <w:p>
            <w:r>
              <w:rPr>
                <w:b/>
              </w:rPr>
              <w:t>6.02</w:t>
            </w:r>
          </w:p>
        </w:tc>
        <w:tc>
          <w:tcPr>
            <w:tcW w:type="dxa" w:w="1417"/>
          </w:tcPr>
          <w:p>
            <w:r>
              <w:rPr>
                <w:b/>
              </w:rPr>
              <w:t>4.48</w:t>
            </w:r>
          </w:p>
        </w:tc>
      </w:tr>
      <w:tr>
        <w:tc>
          <w:tcPr>
            <w:tcW w:type="dxa" w:w="2268"/>
          </w:tcPr>
          <w:p>
            <w:r>
              <w:t>Cash</w:t>
            </w:r>
          </w:p>
        </w:tc>
        <w:tc>
          <w:tcPr>
            <w:tcW w:type="dxa" w:w="1417"/>
          </w:tcPr>
          <w:p>
            <w:r>
              <w:t>4.51</w:t>
            </w:r>
          </w:p>
        </w:tc>
        <w:tc>
          <w:tcPr>
            <w:tcW w:type="dxa" w:w="1417"/>
          </w:tcPr>
          <w:p>
            <w:r>
              <w:t>4.49</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The Australian share market rose for the third consecutive month rising a modest +1.1% for the month but a stellar +16% since April and +10.2% for the 12 months to June 2025, after a +7.8% rise one year earlier and +9.6% in the year end June 2023. Performance during the year was mainly driven by technology and financial sectors.</w:t>
        <w:br/>
        <w:br/>
        <w:t>Australia’s economy grew 0.2% q-o-q in Q1 2025. While this fell short of the 0.4% market forecast, it marked the 14th consecutive quarter of expansion. OECD adjusted its GDP growth forecast for Australia in 2025 from 1.9% to 1.8%.</w:t>
        <w:br/>
        <w:br/>
        <w:t>Australian household net worth reached A$17.3 trillion in the March quarter, up from A$16.2 trillion a year earlier. Property remained the largest asset class at A$11.7 trillion, growing by 5.9% annually. Superannuation assets increased by 6.6% to A$4.14 trillion, while shares and equities rose by 8% to A$1.57 trillion.</w:t>
        <w:br/>
        <w:br/>
        <w:t>The World Bank left its forecast for China unchanged at 4.5% from January, saying Beijing still had monetary and fiscal space to support its economy and stimulate growth.</w:t>
        <w:br/>
        <w:br/>
        <w:t>President Trump has upended global trade with a series of on-again, off-again tariff hikes that have increased the effective U.S. tariff rate from below 3% to the mid-teens - its highest level in almost a century - and triggered retaliation by China and other countries.</w:t>
        <w:br/>
        <w:br/>
        <w:t>The US economy remained resilient in June, with equity markets hitting record highs amid easing geopolitical risks from the Iran-Israel ceasefire and a rollback of reciprocal tariffs. Expectations for 2–3 Fed rate cuts by year-end strengthened as inflation showed signs of moderation and financial conditions remained supportive.</w:t>
        <w:br/>
        <w:br/>
        <w:t>A weakening U.S. dollar has reinvigorated investor interest in Emerging Market assets. Notably, emerging market local currency debt experienced a resurgence, with bond funds recording eight consecutive weeks of inflows and returns exceeding 10% year-to-date.</w:t>
        <w:br/>
        <w:br/>
        <w:t>The eurozone's GDP is projected to grow by 0.9% in 2025, a downward revision from earlier forecasts, primarily due to heightened trade tensions and global uncertainty. Inflation is expected to average 2.0% in 2025, aligning with the European Central Bank's (ECB) target, before dipping to 1.6%.</w:t>
        <w:br/>
        <w:br/>
        <w:t>The US 10-year yield rose over the month as strong jobs data and sticky inflation reduced the likelihood of a July Fed rate cut, while fiscal concerns mounted following Senate approval of a $3.3 trillion deficit-financed tax bill.</w:t>
        <w:br/>
        <w:br/>
        <w:t>Australian government bond yields ended June slightly higher at the long end, while the 2-year yield eased as markets began to price in rate cuts in 2026 amid softening growth momentum. The yield curve steepened modestly, with RBA commentary remaining hawkish due to persistent services inflation and a tight labour market.</w:t>
        <w:br/>
        <w:br/>
        <w:t>Gold miners delivered 60% for the year. Gold is set to surpass metallurgical coal to become Australia's 3rd biggest resource export earner in 2025–2026.</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