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Real Assets SMA</w:t>
      </w:r>
      <w:r>
        <w:tab/>
      </w:r>
      <w:r>
        <w:t>31 March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AtchisonRealAssets</w:t>
            </w:r>
          </w:p>
        </w:tc>
        <w:tc>
          <w:tcPr>
            <w:tcW w:type="dxa" w:w="1644"/>
          </w:tcPr>
          <w:p>
            <w:r>
              <w:rPr>
                <w:b/>
              </w:rPr>
              <w:t>0.37</w:t>
            </w:r>
          </w:p>
        </w:tc>
        <w:tc>
          <w:tcPr>
            <w:tcW w:type="dxa" w:w="1644"/>
          </w:tcPr>
          <w:p>
            <w:r>
              <w:rPr>
                <w:b/>
              </w:rPr>
              <w:t>-5.0</w:t>
            </w:r>
          </w:p>
        </w:tc>
        <w:tc>
          <w:tcPr>
            <w:tcW w:type="dxa" w:w="1644"/>
          </w:tcPr>
          <w:p>
            <w:r>
              <w:rPr>
                <w:b/>
              </w:rPr>
              <w:t>3.48</w:t>
            </w:r>
          </w:p>
        </w:tc>
        <w:tc>
          <w:tcPr>
            <w:tcW w:type="dxa" w:w="1644"/>
          </w:tcPr>
          <w:p>
            <w:r>
              <w:rPr>
                <w:b/>
              </w:rPr>
              <w:t>7.7</w:t>
            </w:r>
          </w:p>
        </w:tc>
        <w:tc>
          <w:tcPr>
            <w:tcW w:type="dxa" w:w="1644"/>
          </w:tcPr>
          <w:p>
            <w:r>
              <w:rPr>
                <w:b/>
              </w:rPr>
              <w:t>6.45</w:t>
            </w:r>
          </w:p>
        </w:tc>
      </w:tr>
      <w:tr>
        <w:tc>
          <w:tcPr>
            <w:tcW w:type="dxa" w:w="2551"/>
          </w:tcPr>
          <w:p>
            <w:r>
              <w:t>Peer Group</w:t>
            </w:r>
          </w:p>
        </w:tc>
        <w:tc>
          <w:tcPr>
            <w:tcW w:type="dxa" w:w="1644"/>
          </w:tcPr>
          <w:p>
            <w:r>
              <w:t>-0.36</w:t>
            </w:r>
          </w:p>
        </w:tc>
        <w:tc>
          <w:tcPr>
            <w:tcW w:type="dxa" w:w="1644"/>
          </w:tcPr>
          <w:p>
            <w:r>
              <w:t>-3.08</w:t>
            </w:r>
          </w:p>
        </w:tc>
        <w:tc>
          <w:tcPr>
            <w:tcW w:type="dxa" w:w="1644"/>
          </w:tcPr>
          <w:p>
            <w:r>
              <w:t>2.58</w:t>
            </w:r>
          </w:p>
        </w:tc>
        <w:tc>
          <w:tcPr>
            <w:tcW w:type="dxa" w:w="1644"/>
          </w:tcPr>
          <w:p>
            <w:r>
              <w:t>5.63</w:t>
            </w:r>
          </w:p>
        </w:tc>
        <w:tc>
          <w:tcPr>
            <w:tcW w:type="dxa" w:w="1644"/>
          </w:tcPr>
          <w:p>
            <w:r>
              <w:t>5.25</w:t>
            </w:r>
          </w:p>
        </w:tc>
      </w:tr>
      <w:tr>
        <w:tc>
          <w:tcPr>
            <w:tcW w:type="dxa" w:w="2551"/>
          </w:tcPr>
          <w:p>
            <w:r>
              <w:t>Inflation</w:t>
            </w:r>
          </w:p>
        </w:tc>
        <w:tc>
          <w:tcPr>
            <w:tcW w:type="dxa" w:w="1644"/>
          </w:tcPr>
          <w:p>
            <w:r>
              <w:t>0.0</w:t>
            </w:r>
          </w:p>
        </w:tc>
        <w:tc>
          <w:tcPr>
            <w:tcW w:type="dxa" w:w="1644"/>
          </w:tcPr>
          <w:p>
            <w:r>
              <w:t>0.0</w:t>
            </w:r>
          </w:p>
        </w:tc>
        <w:tc>
          <w:tcPr>
            <w:tcW w:type="dxa" w:w="1644"/>
          </w:tcPr>
          <w:p>
            <w:r>
              <w:t>2.25</w:t>
            </w:r>
          </w:p>
        </w:tc>
        <w:tc>
          <w:tcPr>
            <w:tcW w:type="dxa" w:w="1644"/>
          </w:tcPr>
          <w:p>
            <w:r>
              <w:t>2.82</w:t>
            </w:r>
          </w:p>
        </w:tc>
        <w:tc>
          <w:tcPr>
            <w:tcW w:type="dxa" w:w="1644"/>
          </w:tcPr>
          <w:p>
            <w:r>
              <w:t>3.13</w:t>
            </w:r>
          </w:p>
        </w:tc>
      </w:tr>
      <w:tr>
        <w:tc>
          <w:tcPr>
            <w:tcW w:type="dxa" w:w="2551"/>
          </w:tcPr>
          <w:p>
            <w:r>
              <w:t>Outperformance vs Peers</w:t>
            </w:r>
          </w:p>
        </w:tc>
        <w:tc>
          <w:tcPr>
            <w:tcW w:type="dxa" w:w="1644"/>
          </w:tcPr>
          <w:p>
            <w:r>
              <w:t>0.74</w:t>
            </w:r>
          </w:p>
        </w:tc>
        <w:tc>
          <w:tcPr>
            <w:tcW w:type="dxa" w:w="1644"/>
          </w:tcPr>
          <w:p>
            <w:r>
              <w:t>-1.92</w:t>
            </w:r>
          </w:p>
        </w:tc>
        <w:tc>
          <w:tcPr>
            <w:tcW w:type="dxa" w:w="1644"/>
          </w:tcPr>
          <w:p>
            <w:r>
              <w:t>0.91</w:t>
            </w:r>
          </w:p>
        </w:tc>
        <w:tc>
          <w:tcPr>
            <w:tcW w:type="dxa" w:w="1644"/>
          </w:tcPr>
          <w:p>
            <w:r>
              <w:t>2.07</w:t>
            </w:r>
          </w:p>
        </w:tc>
        <w:tc>
          <w:tcPr>
            <w:tcW w:type="dxa" w:w="1644"/>
          </w:tcPr>
          <w:p>
            <w:r>
              <w:t>1.2</w:t>
            </w:r>
          </w:p>
        </w:tc>
      </w:tr>
      <w:tr>
        <w:tc>
          <w:tcPr>
            <w:tcW w:type="dxa" w:w="2551"/>
          </w:tcPr>
          <w:p>
            <w:r>
              <w:t>Outperformance vs Inflation</w:t>
            </w:r>
          </w:p>
        </w:tc>
        <w:tc>
          <w:tcPr>
            <w:tcW w:type="dxa" w:w="1644"/>
          </w:tcPr>
          <w:p>
            <w:r>
              <w:t>0.37</w:t>
            </w:r>
          </w:p>
        </w:tc>
        <w:tc>
          <w:tcPr>
            <w:tcW w:type="dxa" w:w="1644"/>
          </w:tcPr>
          <w:p>
            <w:r>
              <w:t>-5.0</w:t>
            </w:r>
          </w:p>
        </w:tc>
        <w:tc>
          <w:tcPr>
            <w:tcW w:type="dxa" w:w="1644"/>
          </w:tcPr>
          <w:p>
            <w:r>
              <w:t>1.23</w:t>
            </w:r>
          </w:p>
        </w:tc>
        <w:tc>
          <w:tcPr>
            <w:tcW w:type="dxa" w:w="1644"/>
          </w:tcPr>
          <w:p>
            <w:r>
              <w:t>4.88</w:t>
            </w:r>
          </w:p>
        </w:tc>
        <w:tc>
          <w:tcPr>
            <w:tcW w:type="dxa" w:w="1644"/>
          </w:tcPr>
          <w:p>
            <w:r>
              <w:t>3.32</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AMI Property – Australia Listed Peer Index, after fees, over rolling five-year periods.</w:t>
      </w:r>
    </w:p>
    <w:p>
      <w:pPr>
        <w:pStyle w:val="Heading20"/>
      </w:pPr>
      <w:r>
        <w:t>Strategy Overview</w:t>
      </w:r>
    </w:p>
    <w:p>
      <w:pPr>
        <w:pStyle w:val="BodyStyle"/>
      </w:pPr>
      <w:r>
        <w:t>The Atchison Active Real Assets Portfolio offers an all-in-one solution, investing across a broad spectrum of asset types which may include, Australian direct property, Australian / global listed property, Australian / global listed infrastructure. Additionally, this portfolio may also include, natural resources, energy assets, commodities, collectibles – at the discretion of the Asset Manager, Atchison.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Real Assets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Property – Australia Listed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0.58%</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34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34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3240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Real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Real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2764"/>
        <w:gridCol w:w="2764"/>
        <w:gridCol w:w="2764"/>
        <w:gridCol w:w="2764"/>
      </w:tblGrid>
      <w:tr>
        <w:tc>
          <w:tcPr>
            <w:tcW w:type="dxa" w:w="2268"/>
          </w:tcPr>
          <w:p>
            <w:r>
              <w:rPr>
                <w:b/>
              </w:rPr>
              <w:t>Strategy</w:t>
            </w:r>
          </w:p>
        </w:tc>
        <w:tc>
          <w:tcPr>
            <w:tcW w:type="dxa" w:w="945"/>
          </w:tcPr>
          <w:p>
            <w:r>
              <w:rPr>
                <w:b/>
              </w:rPr>
              <w:t>1 Year</w:t>
            </w:r>
          </w:p>
        </w:tc>
        <w:tc>
          <w:tcPr>
            <w:tcW w:type="dxa" w:w="945"/>
          </w:tcPr>
          <w:p>
            <w:r>
              <w:rPr>
                <w:b/>
              </w:rPr>
              <w:t>2 Years (p.a.)</w:t>
            </w:r>
          </w:p>
        </w:tc>
        <w:tc>
          <w:tcPr>
            <w:tcW w:type="dxa" w:w="945"/>
          </w:tcPr>
          <w:p>
            <w:r>
              <w:rPr>
                <w:b/>
              </w:rPr>
              <w:t>Since Inception</w:t>
            </w:r>
          </w:p>
        </w:tc>
      </w:tr>
      <w:tr>
        <w:tc>
          <w:tcPr>
            <w:tcW w:type="dxa" w:w="2268"/>
          </w:tcPr>
          <w:p>
            <w:r>
              <w:t>BR AREIT</w:t>
            </w:r>
          </w:p>
        </w:tc>
        <w:tc>
          <w:tcPr>
            <w:tcW w:type="dxa" w:w="945"/>
          </w:tcPr>
          <w:p>
            <w:r>
              <w:t>-5.93</w:t>
            </w:r>
          </w:p>
        </w:tc>
        <w:tc>
          <w:tcPr>
            <w:tcW w:type="dxa" w:w="945"/>
          </w:tcPr>
          <w:p>
            <w:r>
              <w:t>12.78</w:t>
            </w:r>
          </w:p>
        </w:tc>
        <w:tc>
          <w:tcPr>
            <w:tcW w:type="dxa" w:w="945"/>
          </w:tcPr>
          <w:p>
            <w:r>
              <w:t>3.19</w:t>
            </w:r>
          </w:p>
        </w:tc>
      </w:tr>
      <w:tr>
        <w:tc>
          <w:tcPr>
            <w:tcW w:type="dxa" w:w="2268"/>
          </w:tcPr>
          <w:p>
            <w:r>
              <w:t>BR GREIT</w:t>
            </w:r>
          </w:p>
        </w:tc>
        <w:tc>
          <w:tcPr>
            <w:tcW w:type="dxa" w:w="945"/>
          </w:tcPr>
          <w:p>
            <w:r>
              <w:t>2.7</w:t>
            </w:r>
          </w:p>
        </w:tc>
        <w:tc>
          <w:tcPr>
            <w:tcW w:type="dxa" w:w="945"/>
          </w:tcPr>
          <w:p>
            <w:r>
              <w:t>5.26</w:t>
            </w:r>
          </w:p>
        </w:tc>
        <w:tc>
          <w:tcPr>
            <w:tcW w:type="dxa" w:w="945"/>
          </w:tcPr>
          <w:p>
            <w:r>
              <w:t>1.34</w:t>
            </w:r>
          </w:p>
        </w:tc>
      </w:tr>
      <w:tr>
        <w:tc>
          <w:tcPr>
            <w:tcW w:type="dxa" w:w="2268"/>
          </w:tcPr>
          <w:p>
            <w:r>
              <w:t>Alceon Aus Prop &amp; Infra</w:t>
            </w:r>
          </w:p>
        </w:tc>
        <w:tc>
          <w:tcPr>
            <w:tcW w:type="dxa" w:w="945"/>
          </w:tcPr>
          <w:p>
            <w:r>
              <w:t>1.46</w:t>
            </w:r>
          </w:p>
        </w:tc>
        <w:tc>
          <w:tcPr>
            <w:tcW w:type="dxa" w:w="945"/>
          </w:tcPr>
          <w:p>
            <w:r>
              <w:t>5.13</w:t>
            </w:r>
          </w:p>
        </w:tc>
        <w:tc>
          <w:tcPr>
            <w:tcW w:type="dxa" w:w="945"/>
          </w:tcPr>
          <w:p>
            <w:r>
              <w:t>1.37</w:t>
            </w:r>
          </w:p>
        </w:tc>
      </w:tr>
      <w:tr>
        <w:tc>
          <w:tcPr>
            <w:tcW w:type="dxa" w:w="2268"/>
          </w:tcPr>
          <w:p>
            <w:r>
              <w:t>CB RARE Infra Income H</w:t>
            </w:r>
          </w:p>
        </w:tc>
        <w:tc>
          <w:tcPr>
            <w:tcW w:type="dxa" w:w="945"/>
          </w:tcPr>
          <w:p>
            <w:r>
              <w:t>14.51</w:t>
            </w:r>
          </w:p>
        </w:tc>
        <w:tc>
          <w:tcPr>
            <w:tcW w:type="dxa" w:w="945"/>
          </w:tcPr>
          <w:p>
            <w:r>
              <w:t>6.17</w:t>
            </w:r>
          </w:p>
        </w:tc>
        <w:tc>
          <w:tcPr>
            <w:tcW w:type="dxa" w:w="945"/>
          </w:tcPr>
          <w:p>
            <w:r>
              <w:t>1.7</w:t>
            </w:r>
          </w:p>
        </w:tc>
      </w:tr>
      <w:tr>
        <w:tc>
          <w:tcPr>
            <w:tcW w:type="dxa" w:w="2268"/>
          </w:tcPr>
          <w:p>
            <w:r>
              <w:rPr>
                <w:b/>
              </w:rPr>
              <w:t>BM: Real Assets</w:t>
            </w:r>
          </w:p>
        </w:tc>
        <w:tc>
          <w:tcPr>
            <w:tcW w:type="dxa" w:w="945"/>
          </w:tcPr>
          <w:p>
            <w:r>
              <w:rPr>
                <w:b/>
              </w:rPr>
              <w:t>3.29</w:t>
            </w:r>
          </w:p>
        </w:tc>
        <w:tc>
          <w:tcPr>
            <w:tcW w:type="dxa" w:w="945"/>
          </w:tcPr>
          <w:p>
            <w:r>
              <w:rPr>
                <w:b/>
              </w:rPr>
              <w:t>6.6</w:t>
            </w:r>
          </w:p>
        </w:tc>
        <w:tc>
          <w:tcPr>
            <w:tcW w:type="dxa" w:w="945"/>
          </w:tcPr>
          <w:p>
            <w:r>
              <w:rPr>
                <w:b/>
              </w:rPr>
              <w:t>1.71</w:t>
            </w:r>
          </w:p>
        </w:tc>
      </w:tr>
      <w:tr>
        <w:tc>
          <w:tcPr>
            <w:tcW w:type="dxa" w:w="2268"/>
          </w:tcPr>
          <w:p>
            <w:r>
              <w:t>Cash</w:t>
            </w:r>
          </w:p>
        </w:tc>
        <w:tc>
          <w:tcPr>
            <w:tcW w:type="dxa" w:w="945"/>
          </w:tcPr>
          <w:p>
            <w:r>
              <w:t>4.6</w:t>
            </w:r>
          </w:p>
        </w:tc>
        <w:tc>
          <w:tcPr>
            <w:tcW w:type="dxa" w:w="945"/>
          </w:tcPr>
          <w:p>
            <w:r>
              <w:t>4.42</w:t>
            </w:r>
          </w:p>
        </w:tc>
        <w:tc>
          <w:tcPr>
            <w:tcW w:type="dxa" w:w="945"/>
          </w:tcPr>
          <w:p>
            <w:r>
              <w:t>1.23</w:t>
            </w:r>
          </w:p>
        </w:tc>
      </w:tr>
    </w:tbl>
    <w:br w:type="column"/>
    <w:p>
      <w:pPr>
        <w:pStyle w:val="Heading20"/>
      </w:pPr>
      <w:r>
        <w:t>Market Update</w:t>
      </w:r>
    </w:p>
    <w:p>
      <w:pPr>
        <w:pStyle w:val="BodyStyle"/>
      </w:pPr>
      <w:r>
        <w:t>Australian share market took a lead from the US share market and dropped -3.3% in March on fears of a global trade war and intensifying fears of recession. Recent events highlight the challenges our economy faces, namely our reliance on exports to China. Australia sends around 35% of its iron ore to China.</w:t>
        <w:br/>
        <w:br/>
        <w:t>The Trump administration scheduled to announce at the beginning of April a raft of new reciprocal tariffs on trading partners worldwide. The size and extent of those tariffs remained unknown, and that kind of uncertainty did zero to boost investor sentiment.</w:t>
        <w:br/>
        <w:br/>
        <w:t>Markets interpreted the expected new tariffs as the catalyst to crimp global economic growth and potentially reignite inflation, leading to fewer than originally expected interest rate cuts over CY 2025.</w:t>
        <w:br/>
        <w:br/>
        <w:t>More recent views (post March 2025) are that after the dust settles, effective tariffs on US imports could settle around 15% next year, compared to figures currently pushed out by the Trump administration, 15% doesn’t seem that high, but still the highest in almost a century.</w:t>
        <w:br/>
        <w:br/>
        <w:t>Global market fell -5.0% in the month March led by the US S&amp;P 500 Index down -6.2%. The tech-heavy NASDAQ benchmark was down -8.2% for the month. European markets fared slightly better, benefiting from ongoing rotation from investors seeking alternatives to the US. The STOXX Europe 600 benchmark was down -3.7%.</w:t>
        <w:br/>
        <w:br/>
        <w:t>The Reserve Bank of Australia (RBA) has previously noted that the enduring strength in employment was a potential roadblock to further rate cuts. In the US, the Federal Reserve maintained rates at the current level with minimal changes to the dot-plot projections. The US dollar continued to weaken against major currencies.</w:t>
        <w:br/>
        <w:br/>
        <w:t>The monthly CPI indicator rose +2.4% in the 12 months to February. Largest contributors to the annual movement were Food and non-alcoholic beverages (+3.1%), Alcohol and tobacco (+6.7%), and Housing (+1.8%).</w:t>
        <w:br/>
        <w:t>Bond yields rose slightly in March, the Australian 10-year bond rate was up 13 bps to 4.42% bps. Whilst US 10-year bond edged up 1 bps to 4.21% but was higher mid-month.</w:t>
        <w:br/>
        <w:t>Gold continued to hit record highs with the yellow metal topping US$3000 for the first time and closing about US$3100.</w:t>
        <w:br/>
        <w:t>Additional commentary is provided in our monthly market update.</w:t>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