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0242" w14:textId="414272D7" w:rsidR="00E74AA6" w:rsidRDefault="00E74AA6" w:rsidP="00CE5D3A">
      <w:pPr>
        <w:rPr>
          <w:b/>
          <w:bCs/>
          <w:sz w:val="28"/>
          <w:szCs w:val="28"/>
          <w:lang w:val="en-US"/>
        </w:rPr>
      </w:pPr>
      <w:r w:rsidRPr="00E74AA6">
        <w:rPr>
          <w:b/>
          <w:bCs/>
          <w:sz w:val="28"/>
          <w:szCs w:val="28"/>
          <w:lang w:val="en-US"/>
        </w:rPr>
        <w:t>Aspect Capital Absolute Return Fund</w:t>
      </w:r>
    </w:p>
    <w:p w14:paraId="5D3C6C94" w14:textId="1DE43ACD" w:rsidR="00CE5D3A" w:rsidRDefault="00E74AA6" w:rsidP="00CE5D3A">
      <w:pPr>
        <w:rPr>
          <w:b/>
          <w:bCs/>
          <w:lang w:val="en-US"/>
        </w:rPr>
      </w:pPr>
      <w:r w:rsidRPr="00E74AA6">
        <w:rPr>
          <w:b/>
          <w:bCs/>
          <w:lang w:val="en-US"/>
        </w:rPr>
        <w:t>Re. Requested Inclusio</w:t>
      </w:r>
      <w:r w:rsidR="00CF7C22">
        <w:rPr>
          <w:b/>
          <w:bCs/>
          <w:lang w:val="en-US"/>
        </w:rPr>
        <w:t xml:space="preserve">n into the </w:t>
      </w:r>
      <w:r w:rsidR="00CE5D3A" w:rsidRPr="00E74AA6">
        <w:rPr>
          <w:b/>
          <w:bCs/>
          <w:lang w:val="en-US"/>
        </w:rPr>
        <w:t>Approved Product List</w:t>
      </w:r>
      <w:r w:rsidR="00CE5D3A" w:rsidRPr="00CE5D3A">
        <w:rPr>
          <w:b/>
          <w:bCs/>
          <w:sz w:val="28"/>
          <w:szCs w:val="28"/>
          <w:lang w:val="en-US"/>
        </w:rPr>
        <w:tab/>
      </w:r>
      <w:r w:rsidR="00CE5D3A" w:rsidRPr="00CE5D3A">
        <w:rPr>
          <w:b/>
          <w:bCs/>
          <w:sz w:val="28"/>
          <w:szCs w:val="28"/>
          <w:lang w:val="en-US"/>
        </w:rPr>
        <w:tab/>
      </w:r>
      <w:r w:rsidR="00CE5D3A">
        <w:rPr>
          <w:b/>
          <w:bCs/>
          <w:lang w:val="en-US"/>
        </w:rPr>
        <w:tab/>
      </w:r>
      <w:r w:rsidR="00CE5D3A">
        <w:rPr>
          <w:b/>
          <w:bCs/>
          <w:lang w:val="en-US"/>
        </w:rPr>
        <w:tab/>
      </w:r>
      <w:r w:rsidR="00CE5D3A">
        <w:rPr>
          <w:b/>
          <w:bCs/>
          <w:lang w:val="en-US"/>
        </w:rPr>
        <w:tab/>
      </w:r>
    </w:p>
    <w:p w14:paraId="679864F4" w14:textId="1532A53E" w:rsidR="00CE5D3A" w:rsidRDefault="00CE5D3A" w:rsidP="00CE5D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 w:rsidRPr="00CE5D3A">
        <w:rPr>
          <w:lang w:val="en-US"/>
        </w:rPr>
        <w:t>1</w:t>
      </w:r>
      <w:r w:rsidR="00B375D0">
        <w:rPr>
          <w:lang w:val="en-US"/>
        </w:rPr>
        <w:t>9</w:t>
      </w:r>
      <w:r w:rsidRPr="00CE5D3A">
        <w:rPr>
          <w:lang w:val="en-US"/>
        </w:rPr>
        <w:t>/08/2024</w:t>
      </w:r>
      <w:r>
        <w:rPr>
          <w:b/>
          <w:bCs/>
          <w:lang w:val="en-US"/>
        </w:rPr>
        <w:t xml:space="preserve"> </w:t>
      </w:r>
    </w:p>
    <w:p w14:paraId="0F802856" w14:textId="2BD739C7" w:rsidR="00DF5D31" w:rsidRDefault="00CE5D3A" w:rsidP="00E06827">
      <w:pPr>
        <w:rPr>
          <w:lang w:val="en-US"/>
        </w:rPr>
      </w:pPr>
      <w:r w:rsidRPr="00CE5D3A">
        <w:rPr>
          <w:b/>
          <w:bCs/>
          <w:lang w:val="en-US"/>
        </w:rPr>
        <w:t>Asset Class:</w:t>
      </w:r>
      <w:r>
        <w:rPr>
          <w:lang w:val="en-US"/>
        </w:rPr>
        <w:t xml:space="preserve"> Alternatives</w:t>
      </w:r>
      <w:r w:rsidR="007C10CC">
        <w:rPr>
          <w:lang w:val="en-US"/>
        </w:rPr>
        <w:br/>
      </w:r>
      <w:r w:rsidRPr="00CE5D3A">
        <w:rPr>
          <w:b/>
          <w:bCs/>
          <w:lang w:val="en-US"/>
        </w:rPr>
        <w:t>Fund Type:</w:t>
      </w:r>
      <w:r>
        <w:rPr>
          <w:lang w:val="en-US"/>
        </w:rPr>
        <w:t xml:space="preserve"> Defensive Alternatives </w:t>
      </w:r>
      <w:r w:rsidR="005A720B">
        <w:rPr>
          <w:lang w:val="en-US"/>
        </w:rPr>
        <w:t xml:space="preserve">– </w:t>
      </w:r>
      <w:r w:rsidR="00BF2613">
        <w:rPr>
          <w:lang w:val="en-US"/>
        </w:rPr>
        <w:t>trend following (m</w:t>
      </w:r>
      <w:r w:rsidR="005A720B">
        <w:rPr>
          <w:lang w:val="en-US"/>
        </w:rPr>
        <w:t xml:space="preserve">omentum / </w:t>
      </w:r>
      <w:r w:rsidR="00BF2613">
        <w:rPr>
          <w:lang w:val="en-US"/>
        </w:rPr>
        <w:t>c</w:t>
      </w:r>
      <w:r w:rsidR="005A720B">
        <w:rPr>
          <w:lang w:val="en-US"/>
        </w:rPr>
        <w:t xml:space="preserve">arry / </w:t>
      </w:r>
      <w:r w:rsidR="00BF2613">
        <w:rPr>
          <w:lang w:val="en-US"/>
        </w:rPr>
        <w:t>v</w:t>
      </w:r>
      <w:r w:rsidR="005A720B">
        <w:rPr>
          <w:lang w:val="en-US"/>
        </w:rPr>
        <w:t>alue</w:t>
      </w:r>
      <w:r w:rsidR="00BF2613">
        <w:rPr>
          <w:lang w:val="en-US"/>
        </w:rPr>
        <w:t>)</w:t>
      </w:r>
      <w:r>
        <w:rPr>
          <w:lang w:val="en-US"/>
        </w:rPr>
        <w:br/>
      </w:r>
      <w:r w:rsidR="007C10CC">
        <w:rPr>
          <w:b/>
          <w:bCs/>
          <w:lang w:val="en-US"/>
        </w:rPr>
        <w:br/>
      </w:r>
      <w:r w:rsidRPr="00CE5D3A">
        <w:rPr>
          <w:b/>
          <w:bCs/>
          <w:lang w:val="en-US"/>
        </w:rPr>
        <w:t>Description: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CE5D3A">
        <w:rPr>
          <w:lang w:val="en-US"/>
        </w:rPr>
        <w:t>aximise</w:t>
      </w:r>
      <w:proofErr w:type="spellEnd"/>
      <w:r w:rsidRPr="00CE5D3A">
        <w:rPr>
          <w:lang w:val="en-US"/>
        </w:rPr>
        <w:t xml:space="preserve"> diversification across three uncorrelated investment themes; Momentum, Carry and Value.</w:t>
      </w:r>
      <w:r>
        <w:rPr>
          <w:lang w:val="en-US"/>
        </w:rPr>
        <w:t xml:space="preserve"> </w:t>
      </w:r>
      <w:r w:rsidRPr="00CE5D3A">
        <w:rPr>
          <w:lang w:val="en-US"/>
        </w:rPr>
        <w:t>Asset class exposure includes Agriculture 6%, Bonds 26</w:t>
      </w:r>
      <w:r>
        <w:rPr>
          <w:lang w:val="en-US"/>
        </w:rPr>
        <w:t>%</w:t>
      </w:r>
      <w:r w:rsidRPr="00CE5D3A">
        <w:rPr>
          <w:lang w:val="en-US"/>
        </w:rPr>
        <w:t xml:space="preserve">, Credit 2%, Energy 10%, Currency 15%, Interest Rates 1%, Metals 7%, Stocks 33%. </w:t>
      </w:r>
      <w:r w:rsidR="00C8533E">
        <w:rPr>
          <w:lang w:val="en-US"/>
        </w:rPr>
        <w:t xml:space="preserve">Aspect Absolute Returns has had 10M FUM flow in the last 12 months, and 32M FUM flow over 2 years. </w:t>
      </w:r>
      <w:r w:rsidR="00201BF5">
        <w:rPr>
          <w:lang w:val="en-US"/>
        </w:rPr>
        <w:t xml:space="preserve">Whilst Aspect Diversified Futures has had 174M FUM flow over 12 months, and 204M FUM flow over 24 months. </w:t>
      </w:r>
      <w:r w:rsidR="00201BF5">
        <w:rPr>
          <w:lang w:val="en-US"/>
        </w:rPr>
        <w:br/>
      </w:r>
      <w:r w:rsidR="00201BF5">
        <w:rPr>
          <w:lang w:val="en-US"/>
        </w:rPr>
        <w:br/>
      </w:r>
      <w:r w:rsidRPr="00CE5D3A">
        <w:rPr>
          <w:b/>
          <w:bCs/>
          <w:lang w:val="en-US"/>
        </w:rPr>
        <w:t>Parent:</w:t>
      </w:r>
      <w:r>
        <w:rPr>
          <w:lang w:val="en-US"/>
        </w:rPr>
        <w:t xml:space="preserve"> </w:t>
      </w:r>
      <w:r w:rsidRPr="00CE5D3A">
        <w:rPr>
          <w:lang w:val="en-US"/>
        </w:rPr>
        <w:t>A London-based hedge fund founded by Anthony Todd and Dominic Rozier</w:t>
      </w:r>
      <w:r>
        <w:rPr>
          <w:lang w:val="en-US"/>
        </w:rPr>
        <w:t>. Aspect Capital has been in operation since 1997, Absolute Return Fund inception date March 2018.</w:t>
      </w:r>
      <w:r w:rsidR="004C3EDB">
        <w:rPr>
          <w:lang w:val="en-US"/>
        </w:rPr>
        <w:br/>
      </w:r>
      <w:r w:rsidR="007C10CC">
        <w:rPr>
          <w:b/>
          <w:bCs/>
          <w:lang w:val="en-US"/>
        </w:rPr>
        <w:br/>
      </w:r>
      <w:r w:rsidR="001340D8" w:rsidRPr="006F2CCA">
        <w:rPr>
          <w:b/>
          <w:bCs/>
          <w:lang w:val="en-US"/>
        </w:rPr>
        <w:t>People Opinion:</w:t>
      </w:r>
      <w:r>
        <w:rPr>
          <w:lang w:val="en-US"/>
        </w:rPr>
        <w:t xml:space="preserve"> </w:t>
      </w:r>
      <w:r w:rsidR="001340D8" w:rsidRPr="001340D8">
        <w:rPr>
          <w:lang w:val="en-US"/>
        </w:rPr>
        <w:t>Anthony Todd</w:t>
      </w:r>
      <w:r w:rsidR="001340D8">
        <w:rPr>
          <w:lang w:val="en-US"/>
        </w:rPr>
        <w:t xml:space="preserve"> (</w:t>
      </w:r>
      <w:r w:rsidR="001340D8" w:rsidRPr="001340D8">
        <w:rPr>
          <w:lang w:val="en-US"/>
        </w:rPr>
        <w:t>founder</w:t>
      </w:r>
      <w:r w:rsidR="001340D8">
        <w:rPr>
          <w:lang w:val="en-US"/>
        </w:rPr>
        <w:t>)</w:t>
      </w:r>
      <w:r w:rsidR="001340D8" w:rsidRPr="001340D8">
        <w:rPr>
          <w:lang w:val="en-US"/>
        </w:rPr>
        <w:t>, has been involved since inception. Dominic Rozier, another co-founder, has also had a long tenure with the firm. Aspect Capital values continuity and expertise</w:t>
      </w:r>
      <w:r w:rsidR="006F2CCA">
        <w:rPr>
          <w:lang w:val="en-US"/>
        </w:rPr>
        <w:t>.</w:t>
      </w:r>
      <w:r w:rsidR="006F2CCA">
        <w:rPr>
          <w:lang w:val="en-US"/>
        </w:rPr>
        <w:br/>
      </w:r>
      <w:r w:rsidR="007C10CC">
        <w:rPr>
          <w:b/>
          <w:bCs/>
          <w:lang w:val="en-US"/>
        </w:rPr>
        <w:br/>
      </w:r>
      <w:r w:rsidR="003A7821" w:rsidRPr="003A7821">
        <w:rPr>
          <w:b/>
          <w:bCs/>
          <w:lang w:val="en-US"/>
        </w:rPr>
        <w:t>Process Opinion:</w:t>
      </w:r>
      <w:r w:rsidR="003A7821">
        <w:rPr>
          <w:lang w:val="en-US"/>
        </w:rPr>
        <w:t xml:space="preserve"> </w:t>
      </w:r>
      <w:r w:rsidR="005865E6">
        <w:rPr>
          <w:lang w:val="en-US"/>
        </w:rPr>
        <w:t>M</w:t>
      </w:r>
      <w:r w:rsidR="003A7821" w:rsidRPr="003A7821">
        <w:rPr>
          <w:lang w:val="en-US"/>
        </w:rPr>
        <w:t xml:space="preserve">aintaining small exposure to any individual contract, </w:t>
      </w:r>
      <w:r w:rsidR="000E4B18">
        <w:rPr>
          <w:lang w:val="en-US"/>
        </w:rPr>
        <w:t>across an array of asset classes</w:t>
      </w:r>
      <w:r w:rsidR="0069709C">
        <w:rPr>
          <w:lang w:val="en-US"/>
        </w:rPr>
        <w:t>,</w:t>
      </w:r>
      <w:r w:rsidR="000E4B18">
        <w:rPr>
          <w:lang w:val="en-US"/>
        </w:rPr>
        <w:t xml:space="preserve"> </w:t>
      </w:r>
      <w:r w:rsidR="00B83D56">
        <w:rPr>
          <w:lang w:val="en-US"/>
        </w:rPr>
        <w:t>through three distinct investment styles</w:t>
      </w:r>
      <w:r w:rsidR="005865E6">
        <w:rPr>
          <w:lang w:val="en-US"/>
        </w:rPr>
        <w:t xml:space="preserve"> (momentum, carry, value)</w:t>
      </w:r>
      <w:r w:rsidR="00B83D56">
        <w:rPr>
          <w:lang w:val="en-US"/>
        </w:rPr>
        <w:t>,</w:t>
      </w:r>
      <w:r w:rsidR="00DE38FE">
        <w:rPr>
          <w:lang w:val="en-US"/>
        </w:rPr>
        <w:t xml:space="preserve"> whilst using quant models and triggers</w:t>
      </w:r>
      <w:r w:rsidR="005865E6">
        <w:rPr>
          <w:lang w:val="en-US"/>
        </w:rPr>
        <w:t xml:space="preserve"> -</w:t>
      </w:r>
      <w:r w:rsidR="00B83D56">
        <w:rPr>
          <w:lang w:val="en-US"/>
        </w:rPr>
        <w:t xml:space="preserve"> Aspect Capital </w:t>
      </w:r>
      <w:r w:rsidR="00DE38FE">
        <w:rPr>
          <w:lang w:val="en-US"/>
        </w:rPr>
        <w:t xml:space="preserve">have </w:t>
      </w:r>
      <w:r w:rsidR="00B83D56">
        <w:rPr>
          <w:lang w:val="en-US"/>
        </w:rPr>
        <w:t>differentiate</w:t>
      </w:r>
      <w:r w:rsidR="005865E6">
        <w:rPr>
          <w:lang w:val="en-US"/>
        </w:rPr>
        <w:t xml:space="preserve">d </w:t>
      </w:r>
      <w:r w:rsidR="00B83D56">
        <w:rPr>
          <w:lang w:val="en-US"/>
        </w:rPr>
        <w:t>them</w:t>
      </w:r>
      <w:r w:rsidR="00DE38FE">
        <w:rPr>
          <w:lang w:val="en-US"/>
        </w:rPr>
        <w:t xml:space="preserve">selves </w:t>
      </w:r>
      <w:r w:rsidR="00B83D56">
        <w:rPr>
          <w:lang w:val="en-US"/>
        </w:rPr>
        <w:t xml:space="preserve">from other Alternative strategies we employ within our </w:t>
      </w:r>
      <w:r w:rsidR="0069709C">
        <w:rPr>
          <w:lang w:val="en-US"/>
        </w:rPr>
        <w:t>SMA</w:t>
      </w:r>
      <w:r w:rsidR="00DE38FE">
        <w:rPr>
          <w:lang w:val="en-US"/>
        </w:rPr>
        <w:t>.</w:t>
      </w:r>
      <w:r w:rsidR="00AA786B">
        <w:rPr>
          <w:lang w:val="en-US"/>
        </w:rPr>
        <w:br/>
      </w:r>
      <w:r w:rsidR="007C10CC">
        <w:rPr>
          <w:b/>
          <w:bCs/>
          <w:lang w:val="en-US"/>
        </w:rPr>
        <w:br/>
      </w:r>
      <w:r w:rsidR="00AA786B" w:rsidRPr="00AA786B">
        <w:rPr>
          <w:b/>
          <w:bCs/>
          <w:lang w:val="en-US"/>
        </w:rPr>
        <w:t>Return Profile Opinion:</w:t>
      </w:r>
      <w:r w:rsidR="00AA786B">
        <w:rPr>
          <w:lang w:val="en-US"/>
        </w:rPr>
        <w:t xml:space="preserve"> </w:t>
      </w:r>
      <w:r w:rsidR="00460CD3">
        <w:rPr>
          <w:lang w:val="en-US"/>
        </w:rPr>
        <w:t xml:space="preserve">The Absolute Return Fund </w:t>
      </w:r>
      <w:proofErr w:type="gramStart"/>
      <w:r w:rsidR="00460CD3">
        <w:rPr>
          <w:lang w:val="en-US"/>
        </w:rPr>
        <w:t>u</w:t>
      </w:r>
      <w:r w:rsidR="00AA786B" w:rsidRPr="00AA786B">
        <w:rPr>
          <w:lang w:val="en-US"/>
        </w:rPr>
        <w:t>nderperformed</w:t>
      </w:r>
      <w:proofErr w:type="gramEnd"/>
      <w:r w:rsidR="00AA786B" w:rsidRPr="00AA786B">
        <w:rPr>
          <w:lang w:val="en-US"/>
        </w:rPr>
        <w:t xml:space="preserve"> Aspect Diversified Futures, and Winton Global Alpha (other trend following strategies) on a cumulative basis over 1,3,5 years. But consistently had LESS downside risk</w:t>
      </w:r>
      <w:r w:rsidR="00100B36">
        <w:rPr>
          <w:lang w:val="en-US"/>
        </w:rPr>
        <w:t xml:space="preserve">, and LESS volatility </w:t>
      </w:r>
      <w:r w:rsidR="00AA786B" w:rsidRPr="00AA786B">
        <w:rPr>
          <w:lang w:val="en-US"/>
        </w:rPr>
        <w:t>on a calendar year basis</w:t>
      </w:r>
      <w:r w:rsidR="00C22F2A">
        <w:rPr>
          <w:lang w:val="en-US"/>
        </w:rPr>
        <w:t>. It finished 6</w:t>
      </w:r>
      <w:r w:rsidR="00C22F2A" w:rsidRPr="00C22F2A">
        <w:rPr>
          <w:vertAlign w:val="superscript"/>
          <w:lang w:val="en-US"/>
        </w:rPr>
        <w:t>th</w:t>
      </w:r>
      <w:r w:rsidR="00C22F2A">
        <w:rPr>
          <w:lang w:val="en-US"/>
        </w:rPr>
        <w:t xml:space="preserve"> </w:t>
      </w:r>
      <w:r w:rsidR="0097561F">
        <w:rPr>
          <w:lang w:val="en-US"/>
        </w:rPr>
        <w:t>out of 37 defensive alternative managers when assessed against historical 3</w:t>
      </w:r>
      <w:r w:rsidR="002D1765">
        <w:rPr>
          <w:lang w:val="en-US"/>
        </w:rPr>
        <w:t>-</w:t>
      </w:r>
      <w:r w:rsidR="0097561F">
        <w:rPr>
          <w:lang w:val="en-US"/>
        </w:rPr>
        <w:t xml:space="preserve">year cumulative returns. </w:t>
      </w:r>
    </w:p>
    <w:p w14:paraId="7CD59503" w14:textId="495852D8" w:rsidR="007C10CC" w:rsidRPr="00201BF5" w:rsidRDefault="00FA21C3" w:rsidP="00E06827">
      <w:pPr>
        <w:rPr>
          <w:lang w:val="en-US"/>
        </w:rPr>
      </w:pPr>
      <w:r>
        <w:rPr>
          <w:lang w:val="en-US"/>
        </w:rPr>
        <w:t>C</w:t>
      </w:r>
      <w:r w:rsidR="00DF5D31">
        <w:rPr>
          <w:lang w:val="en-US"/>
        </w:rPr>
        <w:t>alendar year returns</w:t>
      </w:r>
      <w:r w:rsidR="00553776">
        <w:rPr>
          <w:lang w:val="en-US"/>
        </w:rPr>
        <w:t xml:space="preserve"> </w:t>
      </w:r>
      <w:r w:rsidR="004C2B0D">
        <w:rPr>
          <w:lang w:val="en-US"/>
        </w:rPr>
        <w:t>–</w:t>
      </w:r>
      <w:r w:rsidR="00553776">
        <w:rPr>
          <w:lang w:val="en-US"/>
        </w:rPr>
        <w:t xml:space="preserve"> </w:t>
      </w:r>
      <w:r w:rsidR="004C2B0D">
        <w:rPr>
          <w:lang w:val="en-US"/>
        </w:rPr>
        <w:t>poor performing years</w:t>
      </w:r>
      <w:r w:rsidR="00CC4C72">
        <w:rPr>
          <w:lang w:val="en-US"/>
        </w:rPr>
        <w:t>:</w:t>
      </w:r>
      <w:r w:rsidR="00CC4C72">
        <w:rPr>
          <w:lang w:val="en-US"/>
        </w:rPr>
        <w:br/>
      </w:r>
      <w:r w:rsidR="00952DAD">
        <w:rPr>
          <w:lang w:val="en-US"/>
        </w:rPr>
        <w:t xml:space="preserve">2018 ADF -15%, </w:t>
      </w:r>
      <w:r w:rsidR="00C238E8">
        <w:rPr>
          <w:lang w:val="en-US"/>
        </w:rPr>
        <w:t>Winton -1%, A</w:t>
      </w:r>
      <w:r w:rsidR="00CC4C72">
        <w:rPr>
          <w:lang w:val="en-US"/>
        </w:rPr>
        <w:t>RF -8%</w:t>
      </w:r>
      <w:r w:rsidR="00CC4C72">
        <w:rPr>
          <w:lang w:val="en-US"/>
        </w:rPr>
        <w:br/>
      </w:r>
      <w:r w:rsidR="00CB27CC">
        <w:rPr>
          <w:lang w:val="en-US"/>
        </w:rPr>
        <w:t xml:space="preserve">2020 ADF -3%, Winton -17%%, ARF </w:t>
      </w:r>
      <w:r w:rsidR="00553776">
        <w:rPr>
          <w:lang w:val="en-US"/>
        </w:rPr>
        <w:t>+</w:t>
      </w:r>
      <w:r>
        <w:rPr>
          <w:lang w:val="en-US"/>
        </w:rPr>
        <w:t>1%</w:t>
      </w:r>
      <w:r w:rsidR="00CB27CC">
        <w:rPr>
          <w:lang w:val="en-US"/>
        </w:rPr>
        <w:br/>
      </w:r>
      <w:r w:rsidR="007C10CC">
        <w:rPr>
          <w:b/>
          <w:bCs/>
          <w:lang w:val="en-US"/>
        </w:rPr>
        <w:br/>
      </w:r>
      <w:r w:rsidR="00E06827" w:rsidRPr="009D157B">
        <w:rPr>
          <w:b/>
          <w:bCs/>
          <w:lang w:val="en-US"/>
        </w:rPr>
        <w:t>Product Terms Opinion:</w:t>
      </w:r>
      <w:r w:rsidR="00E06827" w:rsidRPr="009D157B">
        <w:rPr>
          <w:lang w:val="en-US"/>
        </w:rPr>
        <w:t xml:space="preserve"> </w:t>
      </w:r>
      <w:r w:rsidR="00540F5E" w:rsidRPr="009D157B">
        <w:rPr>
          <w:lang w:val="en-US"/>
        </w:rPr>
        <w:t xml:space="preserve">1.20% Management Fee, </w:t>
      </w:r>
      <w:r w:rsidR="009D157B" w:rsidRPr="009D157B">
        <w:rPr>
          <w:lang w:val="en-US"/>
        </w:rPr>
        <w:t xml:space="preserve">20% Performance Fee over RBA with high water mark. </w:t>
      </w:r>
      <w:r w:rsidR="009D157B">
        <w:rPr>
          <w:lang w:val="en-US"/>
        </w:rPr>
        <w:t xml:space="preserve">Fees are </w:t>
      </w:r>
      <w:r w:rsidR="00DC3DCC">
        <w:rPr>
          <w:lang w:val="en-US"/>
        </w:rPr>
        <w:t xml:space="preserve">high. </w:t>
      </w:r>
    </w:p>
    <w:p w14:paraId="1FD10E66" w14:textId="669C2893" w:rsidR="006C3487" w:rsidRDefault="006E27C5" w:rsidP="00E06827">
      <w:pPr>
        <w:rPr>
          <w:lang w:val="en-US"/>
        </w:rPr>
      </w:pPr>
      <w:r w:rsidRPr="007F71C1">
        <w:rPr>
          <w:b/>
          <w:bCs/>
          <w:lang w:val="en-US"/>
        </w:rPr>
        <w:t>Platform Availability:</w:t>
      </w:r>
      <w:r w:rsidRPr="007F71C1">
        <w:rPr>
          <w:lang w:val="en-US"/>
        </w:rPr>
        <w:t xml:space="preserve"> CFS</w:t>
      </w:r>
      <w:r w:rsidR="007F71C1" w:rsidRPr="007F71C1">
        <w:rPr>
          <w:lang w:val="en-US"/>
        </w:rPr>
        <w:t xml:space="preserve"> and</w:t>
      </w:r>
      <w:r w:rsidR="007F71C1">
        <w:rPr>
          <w:lang w:val="en-US"/>
        </w:rPr>
        <w:t xml:space="preserve"> HUB24, not on Netwealth currently. </w:t>
      </w:r>
      <w:r w:rsidR="00E06827">
        <w:rPr>
          <w:lang w:val="en-US"/>
        </w:rPr>
        <w:br/>
      </w:r>
      <w:r w:rsidR="007C10CC">
        <w:rPr>
          <w:b/>
          <w:bCs/>
          <w:lang w:val="en-US"/>
        </w:rPr>
        <w:br/>
      </w:r>
      <w:r w:rsidR="00E06827" w:rsidRPr="00E06827">
        <w:rPr>
          <w:b/>
          <w:bCs/>
          <w:lang w:val="en-US"/>
        </w:rPr>
        <w:t>Overall Opinion:</w:t>
      </w:r>
      <w:r w:rsidR="00E06827">
        <w:rPr>
          <w:lang w:val="en-US"/>
        </w:rPr>
        <w:t xml:space="preserve"> </w:t>
      </w:r>
      <w:r w:rsidR="00C9224D">
        <w:rPr>
          <w:lang w:val="en-US"/>
        </w:rPr>
        <w:t>Reasonable option</w:t>
      </w:r>
      <w:r w:rsidR="005C776B" w:rsidRPr="005C776B">
        <w:rPr>
          <w:lang w:val="en-US"/>
        </w:rPr>
        <w:t xml:space="preserve">, providing pops of alpha and uncorrelated returns. </w:t>
      </w:r>
      <w:r w:rsidR="005C776B">
        <w:rPr>
          <w:lang w:val="en-US"/>
        </w:rPr>
        <w:t xml:space="preserve">Great </w:t>
      </w:r>
      <w:r w:rsidR="005C776B" w:rsidRPr="005C776B">
        <w:rPr>
          <w:lang w:val="en-US"/>
        </w:rPr>
        <w:t>exposure to an array of different asset classes using momentum, carry and value</w:t>
      </w:r>
      <w:r w:rsidR="00C42D12">
        <w:rPr>
          <w:lang w:val="en-US"/>
        </w:rPr>
        <w:t>.</w:t>
      </w:r>
      <w:r w:rsidR="00A647B8">
        <w:rPr>
          <w:lang w:val="en-US"/>
        </w:rPr>
        <w:t xml:space="preserve"> </w:t>
      </w:r>
      <w:r w:rsidR="004C2B0D">
        <w:rPr>
          <w:lang w:val="en-US"/>
        </w:rPr>
        <w:t xml:space="preserve">Better protection relative to peers during down markets. </w:t>
      </w:r>
      <w:r w:rsidR="00494B65">
        <w:rPr>
          <w:lang w:val="en-US"/>
        </w:rPr>
        <w:t>Concerns are</w:t>
      </w:r>
      <w:r w:rsidR="00DB42EA">
        <w:rPr>
          <w:lang w:val="en-US"/>
        </w:rPr>
        <w:t xml:space="preserve">, for same fees </w:t>
      </w:r>
      <w:r w:rsidR="00A23652">
        <w:rPr>
          <w:lang w:val="en-US"/>
        </w:rPr>
        <w:t xml:space="preserve">we </w:t>
      </w:r>
      <w:r w:rsidR="00DB42EA">
        <w:rPr>
          <w:lang w:val="en-US"/>
        </w:rPr>
        <w:t>could get exposure to ADF strategy</w:t>
      </w:r>
      <w:r w:rsidR="00A23652">
        <w:rPr>
          <w:lang w:val="en-US"/>
        </w:rPr>
        <w:t xml:space="preserve"> (</w:t>
      </w:r>
      <w:r w:rsidR="00264E53">
        <w:rPr>
          <w:lang w:val="en-US"/>
        </w:rPr>
        <w:t xml:space="preserve">higher cumulative return and higher </w:t>
      </w:r>
      <w:r w:rsidR="00A23652">
        <w:rPr>
          <w:lang w:val="en-US"/>
        </w:rPr>
        <w:t>volatility)</w:t>
      </w:r>
      <w:r w:rsidR="00264E53">
        <w:rPr>
          <w:lang w:val="en-US"/>
        </w:rPr>
        <w:t xml:space="preserve">, also fees are high. </w:t>
      </w:r>
    </w:p>
    <w:p w14:paraId="67123CC1" w14:textId="1AF45B42" w:rsidR="006C3487" w:rsidRDefault="006C3487" w:rsidP="00E06827">
      <w:pPr>
        <w:rPr>
          <w:lang w:val="en-US"/>
        </w:rPr>
      </w:pPr>
    </w:p>
    <w:p w14:paraId="71B4CAE8" w14:textId="0FCD6B91" w:rsidR="00CE5D3A" w:rsidRPr="00CE5D3A" w:rsidRDefault="0006735E" w:rsidP="00CE5D3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3DF22B" wp14:editId="56A45D2F">
            <wp:simplePos x="0" y="0"/>
            <wp:positionH relativeFrom="margin">
              <wp:align>right</wp:align>
            </wp:positionH>
            <wp:positionV relativeFrom="paragraph">
              <wp:posOffset>176950</wp:posOffset>
            </wp:positionV>
            <wp:extent cx="1198880" cy="231140"/>
            <wp:effectExtent l="0" t="0" r="1270" b="0"/>
            <wp:wrapTight wrapText="bothSides">
              <wp:wrapPolygon edited="0">
                <wp:start x="343" y="0"/>
                <wp:lineTo x="0" y="14242"/>
                <wp:lineTo x="0" y="19582"/>
                <wp:lineTo x="21280" y="19582"/>
                <wp:lineTo x="21280" y="1780"/>
                <wp:lineTo x="13042" y="0"/>
                <wp:lineTo x="343" y="0"/>
              </wp:wrapPolygon>
            </wp:wrapTight>
            <wp:docPr id="1" name="Picture 1" descr="Atch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chi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F2A">
        <w:rPr>
          <w:lang w:val="en-US"/>
        </w:rPr>
        <w:br/>
      </w:r>
    </w:p>
    <w:sectPr w:rsidR="00CE5D3A" w:rsidRPr="00CE5D3A" w:rsidSect="00CE5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0MzU0MTQwtbQ0NDRT0lEKTi0uzszPAykwqgUAuDz4bSwAAAA="/>
    <w:docVar w:name="APWAFVersion" w:val="5.0"/>
  </w:docVars>
  <w:rsids>
    <w:rsidRoot w:val="00CE5D3A"/>
    <w:rsid w:val="000024DF"/>
    <w:rsid w:val="0004137E"/>
    <w:rsid w:val="0006735E"/>
    <w:rsid w:val="00076553"/>
    <w:rsid w:val="00077619"/>
    <w:rsid w:val="000A4431"/>
    <w:rsid w:val="000E4B18"/>
    <w:rsid w:val="00100B36"/>
    <w:rsid w:val="00123E1A"/>
    <w:rsid w:val="001340D8"/>
    <w:rsid w:val="0014104A"/>
    <w:rsid w:val="00176449"/>
    <w:rsid w:val="00187FF7"/>
    <w:rsid w:val="00201BF5"/>
    <w:rsid w:val="00250D0E"/>
    <w:rsid w:val="00264E53"/>
    <w:rsid w:val="0029195A"/>
    <w:rsid w:val="00297A41"/>
    <w:rsid w:val="002D1765"/>
    <w:rsid w:val="003703E3"/>
    <w:rsid w:val="00387A0A"/>
    <w:rsid w:val="00394D41"/>
    <w:rsid w:val="003A7821"/>
    <w:rsid w:val="003C2E55"/>
    <w:rsid w:val="00460CD3"/>
    <w:rsid w:val="00494B65"/>
    <w:rsid w:val="004C2B0D"/>
    <w:rsid w:val="004C3228"/>
    <w:rsid w:val="004C3EDB"/>
    <w:rsid w:val="0052612B"/>
    <w:rsid w:val="00540F5E"/>
    <w:rsid w:val="00553776"/>
    <w:rsid w:val="005865E6"/>
    <w:rsid w:val="005A720B"/>
    <w:rsid w:val="005C3571"/>
    <w:rsid w:val="005C776B"/>
    <w:rsid w:val="005C7F7C"/>
    <w:rsid w:val="00631151"/>
    <w:rsid w:val="00643075"/>
    <w:rsid w:val="0069709C"/>
    <w:rsid w:val="006C3487"/>
    <w:rsid w:val="006E27C5"/>
    <w:rsid w:val="006F2CCA"/>
    <w:rsid w:val="00796626"/>
    <w:rsid w:val="007B0F2C"/>
    <w:rsid w:val="007C10CC"/>
    <w:rsid w:val="007F71C1"/>
    <w:rsid w:val="008B09CC"/>
    <w:rsid w:val="00952DAD"/>
    <w:rsid w:val="0097561F"/>
    <w:rsid w:val="009D157B"/>
    <w:rsid w:val="00A00C44"/>
    <w:rsid w:val="00A23652"/>
    <w:rsid w:val="00A647B8"/>
    <w:rsid w:val="00AA786B"/>
    <w:rsid w:val="00B222D2"/>
    <w:rsid w:val="00B375D0"/>
    <w:rsid w:val="00B83D56"/>
    <w:rsid w:val="00BF2613"/>
    <w:rsid w:val="00C22F2A"/>
    <w:rsid w:val="00C238E8"/>
    <w:rsid w:val="00C42D12"/>
    <w:rsid w:val="00C43850"/>
    <w:rsid w:val="00C8533E"/>
    <w:rsid w:val="00C9224D"/>
    <w:rsid w:val="00CB27CC"/>
    <w:rsid w:val="00CC4C72"/>
    <w:rsid w:val="00CE5D3A"/>
    <w:rsid w:val="00CF5B8B"/>
    <w:rsid w:val="00CF7C22"/>
    <w:rsid w:val="00D10660"/>
    <w:rsid w:val="00D734EF"/>
    <w:rsid w:val="00DB42EA"/>
    <w:rsid w:val="00DC3DCC"/>
    <w:rsid w:val="00DE38FE"/>
    <w:rsid w:val="00DF5D31"/>
    <w:rsid w:val="00E02706"/>
    <w:rsid w:val="00E06827"/>
    <w:rsid w:val="00E117F6"/>
    <w:rsid w:val="00E55713"/>
    <w:rsid w:val="00E74AA6"/>
    <w:rsid w:val="00E76C13"/>
    <w:rsid w:val="00FA21C3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AA4"/>
  <w15:chartTrackingRefBased/>
  <w15:docId w15:val="{7AE4BBF5-5173-4C36-B6F8-61B91B59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CB0856-17ED-4D85-815B-A575312D14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45678D-A375-426A-820C-F33071B0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6e320-99cb-4a11-b59f-8bf32867ab70"/>
    <ds:schemaRef ds:uri="c0789f30-979e-497b-8344-faefb3987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5EC17-B86A-4442-920C-AA03C5A7ED8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309</Words>
  <Characters>2129</Characters>
  <Application>Microsoft Office Word</Application>
  <DocSecurity>4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Dahia</dc:creator>
  <cp:keywords/>
  <dc:description/>
  <cp:lastModifiedBy>Kevin Toohey</cp:lastModifiedBy>
  <cp:revision>2</cp:revision>
  <dcterms:created xsi:type="dcterms:W3CDTF">2024-08-19T11:03:00Z</dcterms:created>
  <dcterms:modified xsi:type="dcterms:W3CDTF">2024-08-19T11:03:00Z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</Properties>
</file>