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F25F6" w14:textId="77777777" w:rsidR="00CE4DD1" w:rsidRDefault="00CE4DD1" w:rsidP="00CE5D3A">
      <w:pPr>
        <w:rPr>
          <w:b/>
          <w:bCs/>
          <w:sz w:val="28"/>
          <w:szCs w:val="28"/>
          <w:lang w:val="en-US"/>
        </w:rPr>
      </w:pPr>
      <w:r w:rsidRPr="00CE4DD1">
        <w:rPr>
          <w:b/>
          <w:bCs/>
          <w:sz w:val="28"/>
          <w:szCs w:val="28"/>
          <w:lang w:val="en-US"/>
        </w:rPr>
        <w:t>Coolabah Capital Long Short Opportunities Fund</w:t>
      </w:r>
      <w:r w:rsidRPr="00CE5D3A">
        <w:rPr>
          <w:b/>
          <w:bCs/>
          <w:sz w:val="28"/>
          <w:szCs w:val="28"/>
          <w:lang w:val="en-US"/>
        </w:rPr>
        <w:t xml:space="preserve"> </w:t>
      </w:r>
    </w:p>
    <w:p w14:paraId="5D3C6C94" w14:textId="2F97F3D9" w:rsidR="00CE5D3A" w:rsidRDefault="00A32554" w:rsidP="00CE5D3A">
      <w:pPr>
        <w:rPr>
          <w:b/>
          <w:bCs/>
          <w:lang w:val="en-US"/>
        </w:rPr>
      </w:pPr>
      <w:r w:rsidRPr="00E74AA6">
        <w:rPr>
          <w:b/>
          <w:bCs/>
          <w:lang w:val="en-US"/>
        </w:rPr>
        <w:t>Re. Requested Inclusio</w:t>
      </w:r>
      <w:r>
        <w:rPr>
          <w:b/>
          <w:bCs/>
          <w:lang w:val="en-US"/>
        </w:rPr>
        <w:t xml:space="preserve">n into the </w:t>
      </w:r>
      <w:r w:rsidRPr="00E74AA6">
        <w:rPr>
          <w:b/>
          <w:bCs/>
          <w:lang w:val="en-US"/>
        </w:rPr>
        <w:t>Approved Product List</w:t>
      </w:r>
      <w:r w:rsidRPr="00CE5D3A">
        <w:rPr>
          <w:b/>
          <w:bCs/>
          <w:sz w:val="28"/>
          <w:szCs w:val="28"/>
          <w:lang w:val="en-US"/>
        </w:rPr>
        <w:tab/>
      </w:r>
      <w:r w:rsidR="00CE5D3A" w:rsidRPr="00CE5D3A">
        <w:rPr>
          <w:b/>
          <w:bCs/>
          <w:sz w:val="28"/>
          <w:szCs w:val="28"/>
          <w:lang w:val="en-US"/>
        </w:rPr>
        <w:tab/>
      </w:r>
      <w:r w:rsidR="00CE5D3A" w:rsidRPr="00CE5D3A">
        <w:rPr>
          <w:b/>
          <w:bCs/>
          <w:sz w:val="28"/>
          <w:szCs w:val="28"/>
          <w:lang w:val="en-US"/>
        </w:rPr>
        <w:tab/>
      </w:r>
      <w:r w:rsidR="00CE5D3A">
        <w:rPr>
          <w:b/>
          <w:bCs/>
          <w:lang w:val="en-US"/>
        </w:rPr>
        <w:tab/>
      </w:r>
      <w:r w:rsidR="00CE5D3A">
        <w:rPr>
          <w:b/>
          <w:bCs/>
          <w:lang w:val="en-US"/>
        </w:rPr>
        <w:tab/>
      </w:r>
      <w:r w:rsidR="00CE5D3A">
        <w:rPr>
          <w:b/>
          <w:bCs/>
          <w:lang w:val="en-US"/>
        </w:rPr>
        <w:tab/>
      </w:r>
    </w:p>
    <w:p w14:paraId="679864F4" w14:textId="0CAA12EF" w:rsidR="00CE5D3A" w:rsidRDefault="00CE5D3A" w:rsidP="00CE5D3A">
      <w:pPr>
        <w:rPr>
          <w:b/>
          <w:bCs/>
          <w:lang w:val="en-US"/>
        </w:rPr>
      </w:pPr>
      <w:r>
        <w:rPr>
          <w:b/>
          <w:bCs/>
          <w:lang w:val="en-US"/>
        </w:rPr>
        <w:t xml:space="preserve">Date: </w:t>
      </w:r>
      <w:r w:rsidRPr="00CE5D3A">
        <w:rPr>
          <w:lang w:val="en-US"/>
        </w:rPr>
        <w:t>1</w:t>
      </w:r>
      <w:r w:rsidR="00A32554">
        <w:rPr>
          <w:lang w:val="en-US"/>
        </w:rPr>
        <w:t>9</w:t>
      </w:r>
      <w:r w:rsidRPr="00CE5D3A">
        <w:rPr>
          <w:lang w:val="en-US"/>
        </w:rPr>
        <w:t>/08/2024</w:t>
      </w:r>
      <w:r>
        <w:rPr>
          <w:b/>
          <w:bCs/>
          <w:lang w:val="en-US"/>
        </w:rPr>
        <w:t xml:space="preserve"> </w:t>
      </w:r>
    </w:p>
    <w:p w14:paraId="7E56931D" w14:textId="5789699B" w:rsidR="00930A26" w:rsidRPr="00930A26" w:rsidRDefault="00CE5D3A" w:rsidP="00930A26">
      <w:pPr>
        <w:rPr>
          <w:lang w:val="en-US"/>
        </w:rPr>
      </w:pPr>
      <w:r w:rsidRPr="00CE5D3A">
        <w:rPr>
          <w:b/>
          <w:bCs/>
          <w:lang w:val="en-US"/>
        </w:rPr>
        <w:t>Asset Class:</w:t>
      </w:r>
      <w:r>
        <w:rPr>
          <w:lang w:val="en-US"/>
        </w:rPr>
        <w:t xml:space="preserve"> Alternatives</w:t>
      </w:r>
      <w:r w:rsidR="007C10CC">
        <w:rPr>
          <w:lang w:val="en-US"/>
        </w:rPr>
        <w:br/>
      </w:r>
      <w:r w:rsidRPr="00CE5D3A">
        <w:rPr>
          <w:b/>
          <w:bCs/>
          <w:lang w:val="en-US"/>
        </w:rPr>
        <w:t>Fund Type:</w:t>
      </w:r>
      <w:r>
        <w:rPr>
          <w:lang w:val="en-US"/>
        </w:rPr>
        <w:t xml:space="preserve"> Defensive Alternatives </w:t>
      </w:r>
      <w:r w:rsidR="00FD3A22">
        <w:rPr>
          <w:lang w:val="en-US"/>
        </w:rPr>
        <w:t xml:space="preserve">– </w:t>
      </w:r>
      <w:r w:rsidR="0045294A">
        <w:rPr>
          <w:lang w:val="en-US"/>
        </w:rPr>
        <w:t>u</w:t>
      </w:r>
      <w:r w:rsidR="00FD3A22">
        <w:rPr>
          <w:lang w:val="en-US"/>
        </w:rPr>
        <w:t xml:space="preserve">nconstrained </w:t>
      </w:r>
      <w:r w:rsidR="0045294A">
        <w:rPr>
          <w:lang w:val="en-US"/>
        </w:rPr>
        <w:t>f</w:t>
      </w:r>
      <w:r w:rsidR="00FD3A22">
        <w:rPr>
          <w:lang w:val="en-US"/>
        </w:rPr>
        <w:t xml:space="preserve">ixed </w:t>
      </w:r>
      <w:r w:rsidR="0045294A">
        <w:rPr>
          <w:lang w:val="en-US"/>
        </w:rPr>
        <w:t>i</w:t>
      </w:r>
      <w:r w:rsidR="00FD3A22">
        <w:rPr>
          <w:lang w:val="en-US"/>
        </w:rPr>
        <w:t xml:space="preserve">ncome </w:t>
      </w:r>
      <w:r>
        <w:rPr>
          <w:lang w:val="en-US"/>
        </w:rPr>
        <w:br/>
      </w:r>
      <w:r w:rsidR="007C10CC">
        <w:rPr>
          <w:b/>
          <w:bCs/>
          <w:lang w:val="en-US"/>
        </w:rPr>
        <w:br/>
      </w:r>
      <w:r w:rsidRPr="00CE5D3A">
        <w:rPr>
          <w:b/>
          <w:bCs/>
          <w:lang w:val="en-US"/>
        </w:rPr>
        <w:t>Description:</w:t>
      </w:r>
      <w:r>
        <w:rPr>
          <w:lang w:val="en-US"/>
        </w:rPr>
        <w:t xml:space="preserve"> </w:t>
      </w:r>
      <w:r w:rsidR="00E73979" w:rsidRPr="00E73979">
        <w:rPr>
          <w:lang w:val="en-US"/>
        </w:rPr>
        <w:t>Alpha focused fixed income portfolio that can take Long/short positions, across cash, bonds, hybrid securities, credit, equities. Fits within the “unconstrained fixed income” or “defensive alternatives” sectors.</w:t>
      </w:r>
      <w:r>
        <w:rPr>
          <w:lang w:val="en-US"/>
        </w:rPr>
        <w:br/>
      </w:r>
      <w:r w:rsidR="007C10CC">
        <w:rPr>
          <w:b/>
          <w:bCs/>
          <w:lang w:val="en-US"/>
        </w:rPr>
        <w:br/>
      </w:r>
      <w:r w:rsidRPr="00CE5D3A">
        <w:rPr>
          <w:b/>
          <w:bCs/>
          <w:lang w:val="en-US"/>
        </w:rPr>
        <w:t>Parent Opinion:</w:t>
      </w:r>
      <w:r>
        <w:rPr>
          <w:lang w:val="en-US"/>
        </w:rPr>
        <w:t xml:space="preserve"> </w:t>
      </w:r>
      <w:r w:rsidR="00C51D5A" w:rsidRPr="00C51D5A">
        <w:rPr>
          <w:lang w:val="en-US"/>
        </w:rPr>
        <w:t>Founded in 2011. Since its inception, the firm has developed a strong reputation for its expertise in active fixed-income and credit investment strategies, particularly in Australia.</w:t>
      </w:r>
      <w:r w:rsidR="00D94EA4">
        <w:rPr>
          <w:lang w:val="en-US"/>
        </w:rPr>
        <w:br/>
      </w:r>
      <w:r w:rsidR="007C10CC">
        <w:rPr>
          <w:b/>
          <w:bCs/>
          <w:lang w:val="en-US"/>
        </w:rPr>
        <w:br/>
      </w:r>
      <w:r w:rsidR="001340D8" w:rsidRPr="006F2CCA">
        <w:rPr>
          <w:b/>
          <w:bCs/>
          <w:lang w:val="en-US"/>
        </w:rPr>
        <w:t>People Opinion:</w:t>
      </w:r>
      <w:r w:rsidR="00EE5770">
        <w:rPr>
          <w:b/>
          <w:bCs/>
          <w:lang w:val="en-US"/>
        </w:rPr>
        <w:t xml:space="preserve"> </w:t>
      </w:r>
      <w:r w:rsidR="00C51D5A" w:rsidRPr="00C51D5A">
        <w:rPr>
          <w:lang w:val="en-US"/>
        </w:rPr>
        <w:t>Christopher Joye’s strategies and leadership at Coolabah have been</w:t>
      </w:r>
      <w:r w:rsidR="005F635D">
        <w:rPr>
          <w:lang w:val="en-US"/>
        </w:rPr>
        <w:t xml:space="preserve"> mostly</w:t>
      </w:r>
      <w:r w:rsidR="00C51D5A" w:rsidRPr="00C51D5A">
        <w:rPr>
          <w:lang w:val="en-US"/>
        </w:rPr>
        <w:t xml:space="preserve"> well-received, particularly for their innovation and consistent performance. </w:t>
      </w:r>
      <w:r w:rsidR="003F643A">
        <w:rPr>
          <w:lang w:val="en-US"/>
        </w:rPr>
        <w:t xml:space="preserve">However, there is high </w:t>
      </w:r>
      <w:r w:rsidR="00C51D5A" w:rsidRPr="00C51D5A">
        <w:rPr>
          <w:lang w:val="en-US"/>
        </w:rPr>
        <w:t xml:space="preserve">turnover </w:t>
      </w:r>
      <w:r w:rsidR="00C13302">
        <w:rPr>
          <w:lang w:val="en-US"/>
        </w:rPr>
        <w:t xml:space="preserve">of assets, </w:t>
      </w:r>
      <w:r w:rsidR="00C51D5A" w:rsidRPr="00C51D5A">
        <w:rPr>
          <w:lang w:val="en-US"/>
        </w:rPr>
        <w:t>and strategies are complex</w:t>
      </w:r>
      <w:r w:rsidR="00AC6EF3">
        <w:rPr>
          <w:lang w:val="en-US"/>
        </w:rPr>
        <w:t xml:space="preserve"> utilizing </w:t>
      </w:r>
      <w:r w:rsidR="005F635D">
        <w:rPr>
          <w:lang w:val="en-US"/>
        </w:rPr>
        <w:t>many</w:t>
      </w:r>
      <w:r w:rsidR="00AC6EF3">
        <w:rPr>
          <w:lang w:val="en-US"/>
        </w:rPr>
        <w:t xml:space="preserve"> quantitative models </w:t>
      </w:r>
      <w:r w:rsidR="00C13AFB">
        <w:rPr>
          <w:lang w:val="en-US"/>
        </w:rPr>
        <w:t>in their investment thesis</w:t>
      </w:r>
      <w:r w:rsidR="00C51D5A" w:rsidRPr="00C51D5A">
        <w:rPr>
          <w:lang w:val="en-US"/>
        </w:rPr>
        <w:t>.</w:t>
      </w:r>
      <w:r w:rsidR="006F2CCA">
        <w:rPr>
          <w:lang w:val="en-US"/>
        </w:rPr>
        <w:br/>
      </w:r>
      <w:r w:rsidR="007C10CC">
        <w:rPr>
          <w:b/>
          <w:bCs/>
          <w:lang w:val="en-US"/>
        </w:rPr>
        <w:br/>
      </w:r>
      <w:r w:rsidR="003A7821" w:rsidRPr="003A7821">
        <w:rPr>
          <w:b/>
          <w:bCs/>
          <w:lang w:val="en-US"/>
        </w:rPr>
        <w:t>Process Opinion:</w:t>
      </w:r>
      <w:r w:rsidR="003A7821">
        <w:rPr>
          <w:lang w:val="en-US"/>
        </w:rPr>
        <w:t xml:space="preserve"> </w:t>
      </w:r>
      <w:r w:rsidR="00930A26" w:rsidRPr="00930A26">
        <w:rPr>
          <w:lang w:val="en-US"/>
        </w:rPr>
        <w:t xml:space="preserve">The fund employs a long-short strategy that combines active security selection with valuation models to target mispricing’s in both long and short positions. Its primary investments are in global fixed income securities, including senior and subordinated debt, hybrids, and derivatives. The fund utilizes leverage to enhance returns, which is common in long-short strategies. </w:t>
      </w:r>
    </w:p>
    <w:p w14:paraId="1FD10E66" w14:textId="05CE2167" w:rsidR="006C3487" w:rsidRDefault="00AA786B" w:rsidP="00E06827">
      <w:pPr>
        <w:rPr>
          <w:lang w:val="en-US"/>
        </w:rPr>
      </w:pPr>
      <w:r w:rsidRPr="00AA786B">
        <w:rPr>
          <w:b/>
          <w:bCs/>
          <w:lang w:val="en-US"/>
        </w:rPr>
        <w:t>Return Profile Opinion:</w:t>
      </w:r>
      <w:r>
        <w:rPr>
          <w:lang w:val="en-US"/>
        </w:rPr>
        <w:t xml:space="preserve"> </w:t>
      </w:r>
      <w:r w:rsidR="007B1731">
        <w:rPr>
          <w:lang w:val="en-US"/>
        </w:rPr>
        <w:t>O</w:t>
      </w:r>
      <w:r w:rsidR="007B1731" w:rsidRPr="00930A26">
        <w:rPr>
          <w:lang w:val="en-US"/>
        </w:rPr>
        <w:t xml:space="preserve">bjective is to outperform the RBA Cash Rate </w:t>
      </w:r>
      <w:r w:rsidR="00052C77">
        <w:rPr>
          <w:lang w:val="en-US"/>
        </w:rPr>
        <w:t>+</w:t>
      </w:r>
      <w:r w:rsidR="007B1731" w:rsidRPr="00930A26">
        <w:rPr>
          <w:lang w:val="en-US"/>
        </w:rPr>
        <w:t xml:space="preserve"> 8% per annum over rolling 3-year periods.</w:t>
      </w:r>
      <w:r w:rsidR="007B1731">
        <w:rPr>
          <w:lang w:val="en-US"/>
        </w:rPr>
        <w:t xml:space="preserve"> </w:t>
      </w:r>
      <w:r w:rsidR="00C51D5A" w:rsidRPr="00C51D5A">
        <w:rPr>
          <w:lang w:val="en-US"/>
        </w:rPr>
        <w:t>Perf</w:t>
      </w:r>
      <w:r w:rsidR="00252E74">
        <w:rPr>
          <w:lang w:val="en-US"/>
        </w:rPr>
        <w:t xml:space="preserve">ormance fees are </w:t>
      </w:r>
      <w:r w:rsidR="00C51D5A" w:rsidRPr="00C51D5A">
        <w:rPr>
          <w:lang w:val="en-US"/>
        </w:rPr>
        <w:t>based on any returns above RBA Cash Rate + 1%.</w:t>
      </w:r>
      <w:r w:rsidR="00D94EA4">
        <w:rPr>
          <w:lang w:val="en-US"/>
        </w:rPr>
        <w:br/>
      </w:r>
      <w:r w:rsidR="007C10CC">
        <w:rPr>
          <w:b/>
          <w:bCs/>
          <w:lang w:val="en-US"/>
        </w:rPr>
        <w:br/>
      </w:r>
      <w:r w:rsidR="00E06827" w:rsidRPr="00517888">
        <w:rPr>
          <w:b/>
          <w:bCs/>
          <w:lang w:val="en-US"/>
        </w:rPr>
        <w:t>Product Terms Opinion:</w:t>
      </w:r>
      <w:r w:rsidR="00E06827" w:rsidRPr="00517888">
        <w:rPr>
          <w:lang w:val="en-US"/>
        </w:rPr>
        <w:t xml:space="preserve"> </w:t>
      </w:r>
      <w:r w:rsidR="008E611F" w:rsidRPr="00517888">
        <w:rPr>
          <w:lang w:val="en-US"/>
        </w:rPr>
        <w:t>1%</w:t>
      </w:r>
      <w:r w:rsidR="008E611F" w:rsidRPr="008E611F">
        <w:rPr>
          <w:lang w:val="en-US"/>
        </w:rPr>
        <w:t xml:space="preserve"> Management fee, 20.5% Perf</w:t>
      </w:r>
      <w:r w:rsidR="00052C77">
        <w:rPr>
          <w:lang w:val="en-US"/>
        </w:rPr>
        <w:t xml:space="preserve">ormance </w:t>
      </w:r>
      <w:r w:rsidR="008E611F" w:rsidRPr="008E611F">
        <w:rPr>
          <w:lang w:val="en-US"/>
        </w:rPr>
        <w:t>Fee.</w:t>
      </w:r>
      <w:r w:rsidR="002361A3">
        <w:rPr>
          <w:lang w:val="en-US"/>
        </w:rPr>
        <w:t xml:space="preserve"> High fees. </w:t>
      </w:r>
      <w:r w:rsidR="00052C77">
        <w:rPr>
          <w:lang w:val="en-US"/>
        </w:rPr>
        <w:br/>
      </w:r>
      <w:r w:rsidR="00052C77">
        <w:rPr>
          <w:lang w:val="en-US"/>
        </w:rPr>
        <w:br/>
      </w:r>
      <w:r w:rsidR="00E06827" w:rsidRPr="00E06827">
        <w:rPr>
          <w:b/>
          <w:bCs/>
          <w:lang w:val="en-US"/>
        </w:rPr>
        <w:t>Overall Opinion:</w:t>
      </w:r>
      <w:r w:rsidR="00E06827">
        <w:rPr>
          <w:lang w:val="en-US"/>
        </w:rPr>
        <w:t xml:space="preserve"> </w:t>
      </w:r>
      <w:r w:rsidR="008E611F">
        <w:rPr>
          <w:lang w:val="en-US"/>
        </w:rPr>
        <w:t xml:space="preserve">Reasonable defensive </w:t>
      </w:r>
      <w:r w:rsidR="008E611F" w:rsidRPr="008E611F">
        <w:rPr>
          <w:lang w:val="en-US"/>
        </w:rPr>
        <w:t>alt</w:t>
      </w:r>
      <w:r w:rsidR="008E611F">
        <w:rPr>
          <w:lang w:val="en-US"/>
        </w:rPr>
        <w:t>ernative</w:t>
      </w:r>
      <w:r w:rsidR="008E611F" w:rsidRPr="008E611F">
        <w:rPr>
          <w:lang w:val="en-US"/>
        </w:rPr>
        <w:t xml:space="preserve"> exposure in unconstrained fixed interest, offering better returns than RBA Cash Rate and good liquidity. Only concern is </w:t>
      </w:r>
      <w:r w:rsidR="00517888">
        <w:rPr>
          <w:lang w:val="en-US"/>
        </w:rPr>
        <w:t>high management and performance fees</w:t>
      </w:r>
      <w:r w:rsidR="008E611F" w:rsidRPr="008E611F">
        <w:rPr>
          <w:lang w:val="en-US"/>
        </w:rPr>
        <w:t>.</w:t>
      </w:r>
    </w:p>
    <w:p w14:paraId="3E158D98" w14:textId="77777777" w:rsidR="00075F08" w:rsidRDefault="00075F08" w:rsidP="00E06827">
      <w:pPr>
        <w:rPr>
          <w:lang w:val="en-US"/>
        </w:rPr>
      </w:pPr>
    </w:p>
    <w:p w14:paraId="1B670913" w14:textId="77777777" w:rsidR="00075F08" w:rsidRDefault="00075F08" w:rsidP="00E06827">
      <w:pPr>
        <w:rPr>
          <w:lang w:val="en-US"/>
        </w:rPr>
      </w:pPr>
    </w:p>
    <w:p w14:paraId="0AACCC92" w14:textId="77777777" w:rsidR="00075F08" w:rsidRDefault="00075F08" w:rsidP="00E06827">
      <w:pPr>
        <w:rPr>
          <w:lang w:val="en-US"/>
        </w:rPr>
      </w:pPr>
    </w:p>
    <w:p w14:paraId="401BD332" w14:textId="77777777" w:rsidR="00075F08" w:rsidRDefault="00075F08" w:rsidP="00E06827">
      <w:pPr>
        <w:rPr>
          <w:lang w:val="en-US"/>
        </w:rPr>
      </w:pPr>
    </w:p>
    <w:p w14:paraId="43C49F2C" w14:textId="77777777" w:rsidR="00075F08" w:rsidRDefault="00075F08" w:rsidP="00E06827">
      <w:pPr>
        <w:rPr>
          <w:lang w:val="en-US"/>
        </w:rPr>
      </w:pPr>
    </w:p>
    <w:p w14:paraId="5638F821" w14:textId="77777777" w:rsidR="00075F08" w:rsidRDefault="00075F08" w:rsidP="00E06827">
      <w:pPr>
        <w:rPr>
          <w:lang w:val="en-US"/>
        </w:rPr>
      </w:pPr>
    </w:p>
    <w:p w14:paraId="61DF67EC" w14:textId="77777777" w:rsidR="00075F08" w:rsidRDefault="00075F08" w:rsidP="00E06827">
      <w:pPr>
        <w:rPr>
          <w:lang w:val="en-US"/>
        </w:rPr>
      </w:pPr>
    </w:p>
    <w:p w14:paraId="47D5C9F3" w14:textId="72B3169D" w:rsidR="00075F08" w:rsidRDefault="00075F08" w:rsidP="00E06827">
      <w:pPr>
        <w:rPr>
          <w:lang w:val="en-US"/>
        </w:rPr>
      </w:pPr>
    </w:p>
    <w:p w14:paraId="71B4CAE8" w14:textId="283BE6E1" w:rsidR="00CE5D3A" w:rsidRPr="00CE5D3A" w:rsidRDefault="00075F08" w:rsidP="00CE5D3A">
      <w:pPr>
        <w:rPr>
          <w:lang w:val="en-US"/>
        </w:rPr>
      </w:pPr>
      <w:r>
        <w:rPr>
          <w:noProof/>
        </w:rPr>
        <w:drawing>
          <wp:anchor distT="0" distB="0" distL="114300" distR="114300" simplePos="0" relativeHeight="251659264" behindDoc="1" locked="0" layoutInCell="1" allowOverlap="1" wp14:anchorId="0F47472A" wp14:editId="5E5E646C">
            <wp:simplePos x="0" y="0"/>
            <wp:positionH relativeFrom="margin">
              <wp:align>right</wp:align>
            </wp:positionH>
            <wp:positionV relativeFrom="paragraph">
              <wp:posOffset>213432</wp:posOffset>
            </wp:positionV>
            <wp:extent cx="1198880" cy="231140"/>
            <wp:effectExtent l="0" t="0" r="1270" b="0"/>
            <wp:wrapTight wrapText="bothSides">
              <wp:wrapPolygon edited="0">
                <wp:start x="343" y="0"/>
                <wp:lineTo x="0" y="14242"/>
                <wp:lineTo x="0" y="19582"/>
                <wp:lineTo x="21280" y="19582"/>
                <wp:lineTo x="21280" y="1780"/>
                <wp:lineTo x="13042" y="0"/>
                <wp:lineTo x="343" y="0"/>
              </wp:wrapPolygon>
            </wp:wrapTight>
            <wp:docPr id="1" name="Picture 1" descr="Atch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chi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80" cy="2311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5D3A" w:rsidRPr="00CE5D3A" w:rsidSect="00CE5D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0MzU0MTQwtbQ0NDRT0lEKTi0uzszPAykwrgUA+Q3jdCwAAAA="/>
    <w:docVar w:name="APWAFVersion" w:val="5.0"/>
  </w:docVars>
  <w:rsids>
    <w:rsidRoot w:val="00CE5D3A"/>
    <w:rsid w:val="0004137E"/>
    <w:rsid w:val="00052C77"/>
    <w:rsid w:val="00075F08"/>
    <w:rsid w:val="00076553"/>
    <w:rsid w:val="00077619"/>
    <w:rsid w:val="000A4431"/>
    <w:rsid w:val="000E4B18"/>
    <w:rsid w:val="00100B36"/>
    <w:rsid w:val="001165B7"/>
    <w:rsid w:val="00123E1A"/>
    <w:rsid w:val="001340D8"/>
    <w:rsid w:val="0014104A"/>
    <w:rsid w:val="00187FF7"/>
    <w:rsid w:val="002361A3"/>
    <w:rsid w:val="00250D0E"/>
    <w:rsid w:val="00252E74"/>
    <w:rsid w:val="0029195A"/>
    <w:rsid w:val="00297A41"/>
    <w:rsid w:val="002D1765"/>
    <w:rsid w:val="00387A0A"/>
    <w:rsid w:val="003A7821"/>
    <w:rsid w:val="003C2E55"/>
    <w:rsid w:val="003F643A"/>
    <w:rsid w:val="0045294A"/>
    <w:rsid w:val="00460CD3"/>
    <w:rsid w:val="004A6B59"/>
    <w:rsid w:val="004C3EDB"/>
    <w:rsid w:val="004E2A55"/>
    <w:rsid w:val="004E7D68"/>
    <w:rsid w:val="00517888"/>
    <w:rsid w:val="0052612B"/>
    <w:rsid w:val="005865E6"/>
    <w:rsid w:val="005C776B"/>
    <w:rsid w:val="005C7F7C"/>
    <w:rsid w:val="005F635D"/>
    <w:rsid w:val="00631151"/>
    <w:rsid w:val="006953D4"/>
    <w:rsid w:val="0069709C"/>
    <w:rsid w:val="006C3487"/>
    <w:rsid w:val="006E27C5"/>
    <w:rsid w:val="006F2CCA"/>
    <w:rsid w:val="007B1731"/>
    <w:rsid w:val="007B4B97"/>
    <w:rsid w:val="007B72B5"/>
    <w:rsid w:val="007C10CC"/>
    <w:rsid w:val="007E1AF9"/>
    <w:rsid w:val="007F6145"/>
    <w:rsid w:val="008546E5"/>
    <w:rsid w:val="008E611F"/>
    <w:rsid w:val="00930A26"/>
    <w:rsid w:val="0097561F"/>
    <w:rsid w:val="009E35DC"/>
    <w:rsid w:val="00A00C44"/>
    <w:rsid w:val="00A32554"/>
    <w:rsid w:val="00AA786B"/>
    <w:rsid w:val="00AC6EF3"/>
    <w:rsid w:val="00AF7CD9"/>
    <w:rsid w:val="00B83D56"/>
    <w:rsid w:val="00C13302"/>
    <w:rsid w:val="00C13AFB"/>
    <w:rsid w:val="00C22F2A"/>
    <w:rsid w:val="00C43850"/>
    <w:rsid w:val="00C51D5A"/>
    <w:rsid w:val="00C9224D"/>
    <w:rsid w:val="00CE4DD1"/>
    <w:rsid w:val="00CE5D3A"/>
    <w:rsid w:val="00CF5B8B"/>
    <w:rsid w:val="00D94EA4"/>
    <w:rsid w:val="00DE38FE"/>
    <w:rsid w:val="00E02706"/>
    <w:rsid w:val="00E06827"/>
    <w:rsid w:val="00E103E8"/>
    <w:rsid w:val="00E73979"/>
    <w:rsid w:val="00EB0C5B"/>
    <w:rsid w:val="00EE5770"/>
    <w:rsid w:val="00F55A5B"/>
    <w:rsid w:val="00FA36B9"/>
    <w:rsid w:val="00FD3A22"/>
    <w:rsid w:val="00FE7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AA4"/>
  <w15:chartTrackingRefBased/>
  <w15:docId w15:val="{7AE4BBF5-5173-4C36-B6F8-61B91B59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D3A"/>
    <w:rPr>
      <w:rFonts w:eastAsiaTheme="majorEastAsia" w:cstheme="majorBidi"/>
      <w:color w:val="272727" w:themeColor="text1" w:themeTint="D8"/>
    </w:rPr>
  </w:style>
  <w:style w:type="paragraph" w:styleId="Title">
    <w:name w:val="Title"/>
    <w:basedOn w:val="Normal"/>
    <w:next w:val="Normal"/>
    <w:link w:val="TitleChar"/>
    <w:uiPriority w:val="10"/>
    <w:qFormat/>
    <w:rsid w:val="00CE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D3A"/>
    <w:pPr>
      <w:spacing w:before="160"/>
      <w:jc w:val="center"/>
    </w:pPr>
    <w:rPr>
      <w:i/>
      <w:iCs/>
      <w:color w:val="404040" w:themeColor="text1" w:themeTint="BF"/>
    </w:rPr>
  </w:style>
  <w:style w:type="character" w:customStyle="1" w:styleId="QuoteChar">
    <w:name w:val="Quote Char"/>
    <w:basedOn w:val="DefaultParagraphFont"/>
    <w:link w:val="Quote"/>
    <w:uiPriority w:val="29"/>
    <w:rsid w:val="00CE5D3A"/>
    <w:rPr>
      <w:i/>
      <w:iCs/>
      <w:color w:val="404040" w:themeColor="text1" w:themeTint="BF"/>
    </w:rPr>
  </w:style>
  <w:style w:type="paragraph" w:styleId="ListParagraph">
    <w:name w:val="List Paragraph"/>
    <w:basedOn w:val="Normal"/>
    <w:uiPriority w:val="34"/>
    <w:qFormat/>
    <w:rsid w:val="00CE5D3A"/>
    <w:pPr>
      <w:ind w:left="720"/>
      <w:contextualSpacing/>
    </w:pPr>
  </w:style>
  <w:style w:type="character" w:styleId="IntenseEmphasis">
    <w:name w:val="Intense Emphasis"/>
    <w:basedOn w:val="DefaultParagraphFont"/>
    <w:uiPriority w:val="21"/>
    <w:qFormat/>
    <w:rsid w:val="00CE5D3A"/>
    <w:rPr>
      <w:i/>
      <w:iCs/>
      <w:color w:val="0F4761" w:themeColor="accent1" w:themeShade="BF"/>
    </w:rPr>
  </w:style>
  <w:style w:type="paragraph" w:styleId="IntenseQuote">
    <w:name w:val="Intense Quote"/>
    <w:basedOn w:val="Normal"/>
    <w:next w:val="Normal"/>
    <w:link w:val="IntenseQuoteChar"/>
    <w:uiPriority w:val="30"/>
    <w:qFormat/>
    <w:rsid w:val="00CE5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D3A"/>
    <w:rPr>
      <w:i/>
      <w:iCs/>
      <w:color w:val="0F4761" w:themeColor="accent1" w:themeShade="BF"/>
    </w:rPr>
  </w:style>
  <w:style w:type="character" w:styleId="IntenseReference">
    <w:name w:val="Intense Reference"/>
    <w:basedOn w:val="DefaultParagraphFont"/>
    <w:uiPriority w:val="32"/>
    <w:qFormat/>
    <w:rsid w:val="00CE5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45EC17-B86A-4442-920C-AA03C5A7ED8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C345678D-A375-426A-820C-F33071B0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B0856-17ED-4D85-815B-A575312D14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270</Words>
  <Characters>1548</Characters>
  <Application>Microsoft Office Word</Application>
  <DocSecurity>4</DocSecurity>
  <Lines>30</Lines>
  <Paragraphs>5</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Mishan Dahia</dc:creator>
  <cp:keywords/>
  <dc:description/>
  <cp:lastModifiedBy>Kevin Toohey</cp:lastModifiedBy>
  <cp:revision>2</cp:revision>
  <dcterms:created xsi:type="dcterms:W3CDTF">2024-08-19T11:17:00Z</dcterms:created>
  <dcterms:modified xsi:type="dcterms:W3CDTF">2024-08-19T11:17:00Z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