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FACAB" w14:textId="77777777" w:rsidR="00B718F2" w:rsidRDefault="00B718F2" w:rsidP="00B718F2">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8240" behindDoc="1" locked="0" layoutInCell="1" allowOverlap="1" wp14:anchorId="5A0BAF23" wp14:editId="0D4ABCF1">
            <wp:simplePos x="0" y="0"/>
            <wp:positionH relativeFrom="page">
              <wp:posOffset>7288</wp:posOffset>
            </wp:positionH>
            <wp:positionV relativeFrom="paragraph">
              <wp:posOffset>-996637</wp:posOffset>
            </wp:positionV>
            <wp:extent cx="7559675" cy="1703070"/>
            <wp:effectExtent l="0" t="0" r="3175" b="0"/>
            <wp:wrapNone/>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FDE48" w14:textId="77777777" w:rsidR="00B718F2" w:rsidRDefault="00B718F2" w:rsidP="00B718F2">
      <w:pPr>
        <w:pStyle w:val="paragraph"/>
        <w:spacing w:before="0" w:beforeAutospacing="0" w:after="0" w:afterAutospacing="0"/>
        <w:jc w:val="right"/>
        <w:textAlignment w:val="baseline"/>
        <w:rPr>
          <w:rStyle w:val="eop"/>
          <w:rFonts w:ascii="Arial" w:eastAsiaTheme="majorEastAsia" w:hAnsi="Arial" w:cs="Arial"/>
          <w:color w:val="75C104"/>
          <w:sz w:val="28"/>
          <w:szCs w:val="28"/>
        </w:rPr>
      </w:pPr>
    </w:p>
    <w:p w14:paraId="15FD1F44" w14:textId="2AA538A4" w:rsidR="00FC1FB0" w:rsidRDefault="00B718F2" w:rsidP="00FC1FB0">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eop"/>
          <w:rFonts w:ascii="Arial" w:eastAsiaTheme="majorEastAsia" w:hAnsi="Arial" w:cs="Arial"/>
          <w:color w:val="75C104"/>
          <w:sz w:val="28"/>
          <w:szCs w:val="28"/>
        </w:rPr>
        <w:t>January 202</w:t>
      </w:r>
      <w:r w:rsidR="00FC1FB0">
        <w:rPr>
          <w:rStyle w:val="eop"/>
          <w:rFonts w:ascii="Arial" w:eastAsiaTheme="majorEastAsia" w:hAnsi="Arial" w:cs="Arial"/>
          <w:color w:val="75C104"/>
          <w:sz w:val="28"/>
          <w:szCs w:val="28"/>
        </w:rPr>
        <w:t>5</w:t>
      </w:r>
    </w:p>
    <w:p w14:paraId="52929392" w14:textId="77777777" w:rsidR="00B718F2" w:rsidRPr="008D30BD" w:rsidRDefault="00B718F2" w:rsidP="00B718F2">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5C343954" w14:textId="77777777" w:rsidR="00B718F2" w:rsidRDefault="00B718F2" w:rsidP="00B718F2">
      <w:pPr>
        <w:pStyle w:val="paragraph"/>
        <w:spacing w:before="0" w:beforeAutospacing="0" w:after="0" w:afterAutospacing="0"/>
        <w:jc w:val="center"/>
        <w:textAlignment w:val="baseline"/>
        <w:rPr>
          <w:rStyle w:val="normaltextrun"/>
          <w:rFonts w:ascii="Arial" w:eastAsiaTheme="majorEastAsia" w:hAnsi="Arial" w:cs="Arial"/>
          <w:color w:val="75C104"/>
          <w:sz w:val="28"/>
          <w:szCs w:val="28"/>
        </w:rPr>
      </w:pPr>
    </w:p>
    <w:p w14:paraId="5A883DEE" w14:textId="1C0BB23A" w:rsidR="00B718F2" w:rsidRDefault="00B718F2" w:rsidP="00B718F2">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color w:val="75C104"/>
          <w:sz w:val="28"/>
          <w:szCs w:val="28"/>
        </w:rPr>
        <w:t>APL Removal – Australian Equities</w:t>
      </w:r>
    </w:p>
    <w:p w14:paraId="37BCBB50" w14:textId="77777777" w:rsidR="00B718F2" w:rsidRDefault="00B718F2" w:rsidP="00B718F2">
      <w:pPr>
        <w:pStyle w:val="paragraph"/>
        <w:spacing w:before="0" w:beforeAutospacing="0" w:after="0" w:afterAutospacing="0"/>
        <w:jc w:val="center"/>
        <w:textAlignment w:val="baseline"/>
        <w:rPr>
          <w:rFonts w:ascii="Segoe UI" w:hAnsi="Segoe UI" w:cs="Segoe UI"/>
          <w:color w:val="64777E"/>
          <w:sz w:val="18"/>
          <w:szCs w:val="18"/>
        </w:rPr>
      </w:pPr>
      <w:r>
        <w:rPr>
          <w:rStyle w:val="eop"/>
          <w:rFonts w:ascii="Arial" w:eastAsiaTheme="majorEastAsia" w:hAnsi="Arial" w:cs="Arial"/>
          <w:color w:val="75C104"/>
          <w:sz w:val="28"/>
          <w:szCs w:val="28"/>
        </w:rPr>
        <w:t> </w:t>
      </w:r>
    </w:p>
    <w:p w14:paraId="4C6984EA" w14:textId="77777777" w:rsidR="00B016B6" w:rsidRDefault="00B016B6" w:rsidP="00B016B6">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Australian Eagle Trust (Long-Short Fund)</w:t>
      </w:r>
      <w:r>
        <w:rPr>
          <w:rStyle w:val="tabchar"/>
          <w:rFonts w:ascii="Calibri" w:hAnsi="Calibri" w:cs="Calibri"/>
          <w:color w:val="75C104"/>
          <w:sz w:val="28"/>
          <w:szCs w:val="28"/>
        </w:rPr>
        <w:tab/>
      </w:r>
      <w:r>
        <w:rPr>
          <w:rStyle w:val="eop"/>
          <w:rFonts w:ascii="Arial" w:eastAsiaTheme="majorEastAsia" w:hAnsi="Arial" w:cs="Arial"/>
          <w:color w:val="75C104"/>
          <w:sz w:val="28"/>
          <w:szCs w:val="28"/>
        </w:rPr>
        <w:t> </w:t>
      </w:r>
    </w:p>
    <w:p w14:paraId="071CD8A2" w14:textId="77777777" w:rsidR="00B016B6" w:rsidRDefault="00B016B6" w:rsidP="00B016B6">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 xml:space="preserve">APIR: </w:t>
      </w:r>
      <w:r w:rsidRPr="00D01BF8">
        <w:rPr>
          <w:rStyle w:val="normaltextrun"/>
          <w:rFonts w:ascii="Arial" w:eastAsiaTheme="majorEastAsia" w:hAnsi="Arial" w:cs="Arial"/>
          <w:b/>
          <w:bCs/>
          <w:color w:val="75C104"/>
          <w:sz w:val="28"/>
          <w:szCs w:val="28"/>
        </w:rPr>
        <w:t>ALR2783AU</w:t>
      </w:r>
    </w:p>
    <w:p w14:paraId="2F765C06" w14:textId="77777777" w:rsidR="00B718F2" w:rsidRDefault="00B718F2" w:rsidP="00B718F2">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6AB51790" w14:textId="77777777" w:rsidR="00B718F2" w:rsidRDefault="00B718F2" w:rsidP="00B718F2">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Summary</w:t>
      </w:r>
    </w:p>
    <w:p w14:paraId="6BA338C3" w14:textId="12DB619A" w:rsidR="00AF4289" w:rsidRPr="00AF4289" w:rsidRDefault="00AF4289" w:rsidP="00AF4289">
      <w:pPr>
        <w:pStyle w:val="paragraph"/>
        <w:spacing w:before="0" w:beforeAutospacing="0" w:after="0" w:afterAutospacing="0"/>
        <w:textAlignment w:val="baseline"/>
        <w:rPr>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The </w:t>
      </w:r>
      <w:r>
        <w:rPr>
          <w:rStyle w:val="normaltextrun"/>
          <w:rFonts w:ascii="Arial" w:eastAsiaTheme="majorEastAsia" w:hAnsi="Arial" w:cs="Arial"/>
          <w:b/>
          <w:bCs/>
          <w:color w:val="64777E"/>
          <w:sz w:val="18"/>
          <w:szCs w:val="18"/>
        </w:rPr>
        <w:t xml:space="preserve">Australian Eagle Trust (Long-Short Fund) </w:t>
      </w:r>
      <w:r>
        <w:rPr>
          <w:rStyle w:val="normaltextrun"/>
          <w:rFonts w:ascii="Arial" w:eastAsiaTheme="majorEastAsia" w:hAnsi="Arial" w:cs="Arial"/>
          <w:color w:val="64777E"/>
          <w:sz w:val="18"/>
          <w:szCs w:val="18"/>
        </w:rPr>
        <w:t>(the “Fund”) is managed by Australian Eagle and was incepted in July 2016. Australian Eagle is a large cap Australian equities manager with a focus on quality.</w:t>
      </w:r>
      <w:r>
        <w:rPr>
          <w:rStyle w:val="eop"/>
          <w:rFonts w:ascii="Arial" w:eastAsiaTheme="majorEastAsia" w:hAnsi="Arial" w:cs="Arial"/>
          <w:color w:val="64777E"/>
          <w:sz w:val="18"/>
          <w:szCs w:val="18"/>
        </w:rPr>
        <w:t xml:space="preserve"> </w:t>
      </w:r>
      <w:r>
        <w:rPr>
          <w:rStyle w:val="normaltextrun"/>
          <w:rFonts w:ascii="Arial" w:eastAsiaTheme="majorEastAsia" w:hAnsi="Arial" w:cs="Arial"/>
          <w:color w:val="64777E"/>
          <w:sz w:val="18"/>
          <w:szCs w:val="18"/>
        </w:rPr>
        <w:t>It employs a long-short, low turnover, portfolio with 25-35 longs and 12-25 shorts. The Fund</w:t>
      </w:r>
      <w:r>
        <w:rPr>
          <w:rStyle w:val="normaltextrun"/>
          <w:rFonts w:ascii="Arial" w:eastAsiaTheme="majorEastAsia" w:hAnsi="Arial" w:cs="Arial"/>
          <w:color w:val="64777E"/>
          <w:sz w:val="18"/>
          <w:szCs w:val="18"/>
          <w:lang w:val="en-US"/>
        </w:rPr>
        <w:t xml:space="preserve"> is structured as an open-ended unlisted registered managed investment scheme.</w:t>
      </w:r>
    </w:p>
    <w:p w14:paraId="4395019F" w14:textId="77777777" w:rsidR="00B718F2" w:rsidRPr="006249B6" w:rsidRDefault="00B718F2" w:rsidP="00B718F2">
      <w:pPr>
        <w:pStyle w:val="paragraph"/>
        <w:spacing w:before="0" w:beforeAutospacing="0" w:after="0" w:afterAutospacing="0"/>
        <w:textAlignment w:val="baseline"/>
        <w:rPr>
          <w:rStyle w:val="normaltextrun"/>
          <w:rFonts w:ascii="Segoe UI" w:hAnsi="Segoe UI" w:cs="Segoe UI"/>
          <w:color w:val="64777E"/>
          <w:sz w:val="18"/>
          <w:szCs w:val="18"/>
        </w:rPr>
      </w:pPr>
    </w:p>
    <w:p w14:paraId="3B3E8FE2" w14:textId="77777777" w:rsidR="000B5092" w:rsidRDefault="00B718F2" w:rsidP="000B5092">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 xml:space="preserve">Reason for APL Removal  </w:t>
      </w:r>
    </w:p>
    <w:p w14:paraId="38FCD5F7" w14:textId="51F0F64D" w:rsidR="00B718F2" w:rsidRDefault="003F301E" w:rsidP="00B718F2">
      <w:pPr>
        <w:pStyle w:val="paragraph"/>
        <w:spacing w:before="0" w:beforeAutospacing="0" w:after="0" w:afterAutospacing="0"/>
        <w:textAlignment w:val="baseline"/>
        <w:rPr>
          <w:rFonts w:ascii="Arial" w:eastAsia="Arial" w:hAnsi="Arial" w:cs="Minion Pro"/>
          <w:color w:val="64777E"/>
          <w:sz w:val="18"/>
          <w:szCs w:val="18"/>
          <w:lang w:val="en-US" w:eastAsia="en-US"/>
        </w:rPr>
      </w:pPr>
      <w:r w:rsidRPr="003F301E">
        <w:rPr>
          <w:rFonts w:ascii="Arial" w:eastAsia="Arial" w:hAnsi="Arial" w:cs="Minion Pro"/>
          <w:color w:val="64777E"/>
          <w:sz w:val="18"/>
          <w:szCs w:val="18"/>
          <w:lang w:val="en-US" w:eastAsia="en-US"/>
        </w:rPr>
        <w:t>A key concern lies in the limited universe of 130 stocks from which to construct a meaningful and alpha-generative short book, making the 50% short allocation particularly challenging. Ideally, a long/short strategy should deliver returns across market cycles, regardless of market direction. However, recent performance has highlighted weaknesses in the strategy, notably the Manager’s constrained stock selection and difficulty in exiting poorly performing short positions promptly. This lack of agility has amplified losses during periods of market volatility, raising significant doubts about the strategy’s adaptability and resilience in dynamic market environments.</w:t>
      </w:r>
    </w:p>
    <w:p w14:paraId="14151DC1" w14:textId="77777777" w:rsidR="003F301E" w:rsidRDefault="003F301E" w:rsidP="00B718F2">
      <w:pPr>
        <w:pStyle w:val="paragraph"/>
        <w:spacing w:before="0" w:beforeAutospacing="0" w:after="0" w:afterAutospacing="0"/>
        <w:textAlignment w:val="baseline"/>
        <w:rPr>
          <w:rFonts w:ascii="Arial" w:eastAsia="Arial" w:hAnsi="Arial" w:cs="Minion Pro"/>
          <w:color w:val="64777E"/>
          <w:sz w:val="18"/>
          <w:szCs w:val="18"/>
          <w:lang w:val="en-US" w:eastAsia="en-US"/>
        </w:rPr>
      </w:pPr>
    </w:p>
    <w:p w14:paraId="24E19A24" w14:textId="304FD0DE" w:rsidR="003F301E" w:rsidRDefault="003F301E" w:rsidP="00B718F2">
      <w:pPr>
        <w:pStyle w:val="paragraph"/>
        <w:spacing w:before="0" w:beforeAutospacing="0" w:after="0" w:afterAutospacing="0"/>
        <w:textAlignment w:val="baseline"/>
        <w:rPr>
          <w:rFonts w:ascii="Arial" w:eastAsia="Arial" w:hAnsi="Arial" w:cs="Minion Pro"/>
          <w:color w:val="64777E"/>
          <w:sz w:val="18"/>
          <w:szCs w:val="18"/>
          <w:lang w:val="en-US" w:eastAsia="en-US"/>
        </w:rPr>
      </w:pPr>
      <w:r>
        <w:rPr>
          <w:rFonts w:ascii="Arial" w:eastAsia="Arial" w:hAnsi="Arial" w:cs="Minion Pro"/>
          <w:color w:val="64777E"/>
          <w:sz w:val="18"/>
          <w:szCs w:val="18"/>
          <w:lang w:val="en-US" w:eastAsia="en-US"/>
        </w:rPr>
        <w:t xml:space="preserve">Additionally, from a fee perspective </w:t>
      </w:r>
      <w:r w:rsidR="00F84062">
        <w:rPr>
          <w:rFonts w:ascii="Arial" w:eastAsia="Arial" w:hAnsi="Arial" w:cs="Minion Pro"/>
          <w:color w:val="64777E"/>
          <w:sz w:val="18"/>
          <w:szCs w:val="18"/>
          <w:lang w:val="en-US" w:eastAsia="en-US"/>
        </w:rPr>
        <w:t xml:space="preserve">the fund stands out as expensive on an Australian Long/Short peer comparison </w:t>
      </w:r>
      <w:r w:rsidR="0001388D">
        <w:rPr>
          <w:rFonts w:ascii="Arial" w:eastAsia="Arial" w:hAnsi="Arial" w:cs="Minion Pro"/>
          <w:color w:val="64777E"/>
          <w:sz w:val="18"/>
          <w:szCs w:val="18"/>
          <w:lang w:val="en-US" w:eastAsia="en-US"/>
        </w:rPr>
        <w:t xml:space="preserve">despite Atchison already receiving a rebate. </w:t>
      </w:r>
    </w:p>
    <w:p w14:paraId="0DECEF29" w14:textId="77777777" w:rsidR="003F301E" w:rsidRDefault="003F301E" w:rsidP="00B718F2">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64C63A4E" w14:textId="0AE97366" w:rsidR="00B718F2" w:rsidRPr="006249B6" w:rsidRDefault="00B718F2" w:rsidP="00B718F2">
      <w:pPr>
        <w:rPr>
          <w:rFonts w:ascii="Arial" w:eastAsiaTheme="majorEastAsia" w:hAnsi="Arial" w:cs="Arial"/>
          <w:color w:val="64777E"/>
          <w:sz w:val="18"/>
          <w:szCs w:val="18"/>
        </w:rPr>
      </w:pPr>
      <w:r>
        <w:rPr>
          <w:rStyle w:val="normaltextrun"/>
          <w:rFonts w:ascii="Arial" w:eastAsiaTheme="majorEastAsia" w:hAnsi="Arial" w:cs="Arial"/>
          <w:color w:val="76C204"/>
          <w:sz w:val="28"/>
          <w:szCs w:val="28"/>
        </w:rPr>
        <w:t>Fund Overview</w:t>
      </w:r>
    </w:p>
    <w:p w14:paraId="23B7C098" w14:textId="6680018F" w:rsidR="00B718F2"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5D5872">
        <w:rPr>
          <w:rFonts w:ascii="Arial" w:eastAsia="Arial" w:hAnsi="Arial" w:cs="Minion Pro"/>
          <w:b/>
          <w:bCs/>
          <w:color w:val="64777E"/>
          <w:kern w:val="0"/>
          <w:sz w:val="18"/>
          <w:szCs w:val="18"/>
          <w:lang w:val="en-US"/>
          <w14:ligatures w14:val="none"/>
        </w:rPr>
        <w:t>Manager:</w:t>
      </w:r>
      <w:r>
        <w:rPr>
          <w:rFonts w:ascii="Arial" w:eastAsia="Arial" w:hAnsi="Arial" w:cs="Minion Pro"/>
          <w:color w:val="64777E"/>
          <w:kern w:val="0"/>
          <w:sz w:val="18"/>
          <w:szCs w:val="18"/>
          <w:lang w:val="en-US"/>
          <w14:ligatures w14:val="none"/>
        </w:rPr>
        <w:t xml:space="preserve"> </w:t>
      </w:r>
      <w:r w:rsidR="008607B4">
        <w:rPr>
          <w:rFonts w:ascii="Arial" w:eastAsia="Arial" w:hAnsi="Arial" w:cs="Minion Pro"/>
          <w:color w:val="64777E"/>
          <w:kern w:val="0"/>
          <w:sz w:val="18"/>
          <w:szCs w:val="18"/>
          <w:lang w:val="en-US"/>
          <w14:ligatures w14:val="none"/>
        </w:rPr>
        <w:t>Australian Eagle</w:t>
      </w:r>
    </w:p>
    <w:p w14:paraId="5B643D2A" w14:textId="7BE76CB9" w:rsidR="00B718F2" w:rsidRPr="005D5872"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Fund </w:t>
      </w:r>
      <w:r w:rsidRPr="005D5872">
        <w:rPr>
          <w:rFonts w:ascii="Arial" w:eastAsia="Arial" w:hAnsi="Arial" w:cs="Minion Pro"/>
          <w:b/>
          <w:bCs/>
          <w:color w:val="64777E"/>
          <w:kern w:val="0"/>
          <w:sz w:val="18"/>
          <w:szCs w:val="18"/>
          <w14:ligatures w14:val="none"/>
        </w:rPr>
        <w:t>Inception Date:</w:t>
      </w:r>
      <w:r>
        <w:rPr>
          <w:rFonts w:ascii="Arial" w:eastAsia="Arial" w:hAnsi="Arial" w:cs="Minion Pro"/>
          <w:b/>
          <w:bCs/>
          <w:color w:val="64777E"/>
          <w:kern w:val="0"/>
          <w:sz w:val="18"/>
          <w:szCs w:val="18"/>
          <w14:ligatures w14:val="none"/>
        </w:rPr>
        <w:t xml:space="preserve"> </w:t>
      </w:r>
      <w:r w:rsidR="008607B4">
        <w:rPr>
          <w:rFonts w:ascii="Arial" w:eastAsia="Arial" w:hAnsi="Arial" w:cs="Minion Pro"/>
          <w:color w:val="64777E"/>
          <w:kern w:val="0"/>
          <w:sz w:val="18"/>
          <w:szCs w:val="18"/>
          <w14:ligatures w14:val="none"/>
        </w:rPr>
        <w:t>July</w:t>
      </w:r>
      <w:r>
        <w:rPr>
          <w:rFonts w:ascii="Arial" w:eastAsia="Arial" w:hAnsi="Arial" w:cs="Minion Pro"/>
          <w:color w:val="64777E"/>
          <w:kern w:val="0"/>
          <w:sz w:val="18"/>
          <w:szCs w:val="18"/>
          <w14:ligatures w14:val="none"/>
        </w:rPr>
        <w:t xml:space="preserve"> 201</w:t>
      </w:r>
      <w:r w:rsidR="008607B4">
        <w:rPr>
          <w:rFonts w:ascii="Arial" w:eastAsia="Arial" w:hAnsi="Arial" w:cs="Minion Pro"/>
          <w:color w:val="64777E"/>
          <w:kern w:val="0"/>
          <w:sz w:val="18"/>
          <w:szCs w:val="18"/>
          <w14:ligatures w14:val="none"/>
        </w:rPr>
        <w:t>6</w:t>
      </w:r>
      <w:r>
        <w:rPr>
          <w:rFonts w:ascii="Arial" w:eastAsia="Arial" w:hAnsi="Arial" w:cs="Minion Pro"/>
          <w:color w:val="64777E"/>
          <w:kern w:val="0"/>
          <w:sz w:val="18"/>
          <w:szCs w:val="18"/>
          <w14:ligatures w14:val="none"/>
        </w:rPr>
        <w:t xml:space="preserve"> </w:t>
      </w:r>
    </w:p>
    <w:p w14:paraId="2F8B6C12" w14:textId="36029FC4" w:rsidR="00B718F2" w:rsidRPr="002E6A36"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Firmwide Assets Under Management: </w:t>
      </w:r>
      <w:r>
        <w:rPr>
          <w:rFonts w:ascii="Arial" w:eastAsia="Arial" w:hAnsi="Arial" w:cs="Minion Pro"/>
          <w:color w:val="64777E"/>
          <w:kern w:val="0"/>
          <w:sz w:val="18"/>
          <w:szCs w:val="18"/>
          <w14:ligatures w14:val="none"/>
        </w:rPr>
        <w:t>$</w:t>
      </w:r>
      <w:r w:rsidR="008607B4">
        <w:rPr>
          <w:rFonts w:ascii="Arial" w:eastAsia="Arial" w:hAnsi="Arial" w:cs="Minion Pro"/>
          <w:color w:val="64777E"/>
          <w:kern w:val="0"/>
          <w:sz w:val="18"/>
          <w:szCs w:val="18"/>
          <w14:ligatures w14:val="none"/>
        </w:rPr>
        <w:t>1.1bn</w:t>
      </w:r>
      <w:r>
        <w:rPr>
          <w:rFonts w:ascii="Arial" w:eastAsia="Arial" w:hAnsi="Arial" w:cs="Minion Pro"/>
          <w:color w:val="64777E"/>
          <w:kern w:val="0"/>
          <w:sz w:val="18"/>
          <w:szCs w:val="18"/>
          <w14:ligatures w14:val="none"/>
        </w:rPr>
        <w:t xml:space="preserve"> (as at </w:t>
      </w:r>
      <w:r w:rsidR="008607B4">
        <w:rPr>
          <w:rFonts w:ascii="Arial" w:eastAsia="Arial" w:hAnsi="Arial" w:cs="Minion Pro"/>
          <w:color w:val="64777E"/>
          <w:kern w:val="0"/>
          <w:sz w:val="18"/>
          <w:szCs w:val="18"/>
          <w14:ligatures w14:val="none"/>
        </w:rPr>
        <w:t>30/11</w:t>
      </w:r>
      <w:r>
        <w:rPr>
          <w:rFonts w:ascii="Arial" w:eastAsia="Arial" w:hAnsi="Arial" w:cs="Minion Pro"/>
          <w:color w:val="64777E"/>
          <w:kern w:val="0"/>
          <w:sz w:val="18"/>
          <w:szCs w:val="18"/>
          <w14:ligatures w14:val="none"/>
        </w:rPr>
        <w:t>/2024)</w:t>
      </w:r>
    </w:p>
    <w:p w14:paraId="12BDB307" w14:textId="2853026B" w:rsidR="00B718F2" w:rsidRPr="00901449" w:rsidRDefault="00B718F2" w:rsidP="00B718F2">
      <w:pPr>
        <w:numPr>
          <w:ilvl w:val="1"/>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Auscap Long Short Australian Equities Fund </w:t>
      </w:r>
      <w:r>
        <w:rPr>
          <w:rFonts w:ascii="Arial" w:eastAsia="Arial" w:hAnsi="Arial" w:cs="Minion Pro"/>
          <w:color w:val="64777E"/>
          <w:kern w:val="0"/>
          <w:sz w:val="18"/>
          <w:szCs w:val="18"/>
          <w:lang w:val="en-US"/>
          <w14:ligatures w14:val="none"/>
        </w:rPr>
        <w:t>$</w:t>
      </w:r>
      <w:r w:rsidR="008607B4">
        <w:rPr>
          <w:rFonts w:ascii="Arial" w:eastAsia="Arial" w:hAnsi="Arial" w:cs="Minion Pro"/>
          <w:color w:val="64777E"/>
          <w:kern w:val="0"/>
          <w:sz w:val="18"/>
          <w:szCs w:val="18"/>
          <w:lang w:val="en-US"/>
          <w14:ligatures w14:val="none"/>
        </w:rPr>
        <w:t>450</w:t>
      </w:r>
      <w:r>
        <w:rPr>
          <w:rFonts w:ascii="Arial" w:eastAsia="Arial" w:hAnsi="Arial" w:cs="Minion Pro"/>
          <w:color w:val="64777E"/>
          <w:kern w:val="0"/>
          <w:sz w:val="18"/>
          <w:szCs w:val="18"/>
          <w:lang w:val="en-US"/>
          <w14:ligatures w14:val="none"/>
        </w:rPr>
        <w:t xml:space="preserve">mn  </w:t>
      </w:r>
    </w:p>
    <w:p w14:paraId="1289C7C5" w14:textId="2E2AAFE0" w:rsidR="00B718F2" w:rsidRPr="006249B6"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Investment Strategy: </w:t>
      </w:r>
      <w:r w:rsidR="00CB113F" w:rsidRPr="00CB113F">
        <w:rPr>
          <w:rFonts w:ascii="Arial" w:eastAsia="Arial" w:hAnsi="Arial" w:cs="Minion Pro"/>
          <w:color w:val="64777E"/>
          <w:kern w:val="0"/>
          <w:sz w:val="18"/>
          <w:szCs w:val="18"/>
          <w:lang w:val="en-US"/>
          <w14:ligatures w14:val="none"/>
        </w:rPr>
        <w:t>The manager seeks to buy quality companies with long term competitive advantages and a sensible risk buffer. The manager aims to hold those investments until their competitive advantages are materialised and reflected in returns.</w:t>
      </w:r>
    </w:p>
    <w:p w14:paraId="4AC19B32" w14:textId="1911BBBA" w:rsidR="00B718F2" w:rsidRPr="00F5232E" w:rsidRDefault="00B718F2" w:rsidP="00B718F2">
      <w:pPr>
        <w:numPr>
          <w:ilvl w:val="0"/>
          <w:numId w:val="1"/>
        </w:numPr>
        <w:autoSpaceDE w:val="0"/>
        <w:autoSpaceDN w:val="0"/>
        <w:adjustRightInd w:val="0"/>
        <w:spacing w:after="0" w:line="276" w:lineRule="auto"/>
        <w:textAlignment w:val="baseline"/>
        <w:rPr>
          <w:rStyle w:val="normaltextrun"/>
          <w:rFonts w:ascii="Arial" w:eastAsiaTheme="majorEastAsia" w:hAnsi="Arial" w:cs="Arial"/>
          <w:color w:val="76C204"/>
          <w:sz w:val="28"/>
          <w:szCs w:val="28"/>
        </w:rPr>
      </w:pPr>
      <w:r w:rsidRPr="00F5232E">
        <w:rPr>
          <w:rFonts w:ascii="Arial" w:eastAsia="Arial" w:hAnsi="Arial" w:cs="Minion Pro"/>
          <w:b/>
          <w:bCs/>
          <w:color w:val="64777E"/>
          <w:kern w:val="0"/>
          <w:sz w:val="18"/>
          <w:szCs w:val="18"/>
          <w14:ligatures w14:val="none"/>
        </w:rPr>
        <w:t>Benchmark:</w:t>
      </w:r>
      <w:r w:rsidRPr="00F5232E">
        <w:rPr>
          <w:rStyle w:val="normaltextrun"/>
          <w:rFonts w:ascii="Arial" w:eastAsia="Arial" w:hAnsi="Arial" w:cs="Minion Pro"/>
          <w:color w:val="64777E"/>
          <w:kern w:val="0"/>
          <w:sz w:val="18"/>
          <w:szCs w:val="18"/>
          <w:lang w:val="en-US"/>
          <w14:ligatures w14:val="none"/>
        </w:rPr>
        <w:t xml:space="preserve"> </w:t>
      </w:r>
      <w:r w:rsidR="00785EF8" w:rsidRPr="00785EF8">
        <w:rPr>
          <w:rStyle w:val="normaltextrun"/>
          <w:rFonts w:ascii="Arial" w:eastAsia="Arial" w:hAnsi="Arial" w:cs="Minion Pro"/>
          <w:color w:val="64777E"/>
          <w:kern w:val="0"/>
          <w:sz w:val="18"/>
          <w:szCs w:val="18"/>
          <w:lang w:val="en-US"/>
          <w14:ligatures w14:val="none"/>
        </w:rPr>
        <w:t>S&amp;P/ASX 100 Accumulation Index</w:t>
      </w:r>
    </w:p>
    <w:p w14:paraId="006BA3B6" w14:textId="77777777" w:rsidR="00B718F2" w:rsidRDefault="00B718F2" w:rsidP="00B718F2">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3C7428BA" w14:textId="77777777" w:rsidR="00B718F2" w:rsidRDefault="00B718F2" w:rsidP="00B718F2">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BUSINESS</w:t>
      </w:r>
    </w:p>
    <w:p w14:paraId="582D466D" w14:textId="6B392A4F" w:rsidR="008607B4" w:rsidRDefault="00A874A6" w:rsidP="00B718F2">
      <w:pPr>
        <w:pStyle w:val="paragraph"/>
        <w:spacing w:before="0" w:beforeAutospacing="0" w:after="0" w:afterAutospacing="0"/>
        <w:textAlignment w:val="baseline"/>
        <w:rPr>
          <w:rFonts w:ascii="Arial" w:eastAsia="Arial" w:hAnsi="Arial" w:cs="Arial"/>
          <w:color w:val="64777E"/>
          <w:sz w:val="18"/>
          <w:szCs w:val="18"/>
          <w:lang w:val="en-US" w:eastAsia="en-US"/>
        </w:rPr>
      </w:pPr>
      <w:r w:rsidRPr="00A874A6">
        <w:rPr>
          <w:rFonts w:ascii="Arial" w:eastAsia="Arial" w:hAnsi="Arial" w:cs="Arial"/>
          <w:color w:val="64777E"/>
          <w:sz w:val="18"/>
          <w:szCs w:val="18"/>
          <w:lang w:val="en-US" w:eastAsia="en-US"/>
        </w:rPr>
        <w:t xml:space="preserve">Australian Eagle was established in Sydney in 2004 and specialises in Australian equities. The firm is owned and operated by the team and manages </w:t>
      </w:r>
      <w:proofErr w:type="gramStart"/>
      <w:r w:rsidRPr="00A874A6">
        <w:rPr>
          <w:rFonts w:ascii="Arial" w:eastAsia="Arial" w:hAnsi="Arial" w:cs="Arial"/>
          <w:color w:val="64777E"/>
          <w:sz w:val="18"/>
          <w:szCs w:val="18"/>
          <w:lang w:val="en-US" w:eastAsia="en-US"/>
        </w:rPr>
        <w:t>in excess of</w:t>
      </w:r>
      <w:proofErr w:type="gramEnd"/>
      <w:r w:rsidRPr="00A874A6">
        <w:rPr>
          <w:rFonts w:ascii="Arial" w:eastAsia="Arial" w:hAnsi="Arial" w:cs="Arial"/>
          <w:color w:val="64777E"/>
          <w:sz w:val="18"/>
          <w:szCs w:val="18"/>
          <w:lang w:val="en-US" w:eastAsia="en-US"/>
        </w:rPr>
        <w:t xml:space="preserve"> $1.1bn through a domestic long only strategy and the Australian Eagle Long </w:t>
      </w:r>
      <w:r w:rsidR="00BE32E7" w:rsidRPr="00A874A6">
        <w:rPr>
          <w:rFonts w:ascii="Arial" w:eastAsia="Arial" w:hAnsi="Arial" w:cs="Arial"/>
          <w:color w:val="64777E"/>
          <w:sz w:val="18"/>
          <w:szCs w:val="18"/>
          <w:lang w:val="en-US" w:eastAsia="en-US"/>
        </w:rPr>
        <w:t>Short</w:t>
      </w:r>
      <w:r w:rsidRPr="00A874A6">
        <w:rPr>
          <w:rFonts w:ascii="Arial" w:eastAsia="Arial" w:hAnsi="Arial" w:cs="Arial"/>
          <w:color w:val="64777E"/>
          <w:sz w:val="18"/>
          <w:szCs w:val="18"/>
          <w:lang w:val="en-US" w:eastAsia="en-US"/>
        </w:rPr>
        <w:t xml:space="preserve"> Fund. In 2022 Australian Eagle partnered with Montgomery and took on the FUM from their Large cap long only strategy. Montgomery provides distribution and back-office support in exchange. A potential concern is the distribution focus of Montgomery, given their existing FUM has shifted into the Australian Eagle Long Only strategy. Their focus may be on distributing that fund over the long-short. However, the Australian Eagle Long Short Fund is the only Long Short manager in Montgomery’s suite and thus tempers concern to a degree. The distribution focus will be a watchpoint going forward.</w:t>
      </w:r>
    </w:p>
    <w:p w14:paraId="3F78EE34" w14:textId="77777777" w:rsidR="00A874A6" w:rsidRDefault="00A874A6" w:rsidP="00B718F2">
      <w:pPr>
        <w:pStyle w:val="paragraph"/>
        <w:spacing w:before="0" w:beforeAutospacing="0" w:after="0" w:afterAutospacing="0"/>
        <w:textAlignment w:val="baseline"/>
        <w:rPr>
          <w:rFonts w:ascii="Arial" w:eastAsia="Arial" w:hAnsi="Arial" w:cs="Arial"/>
          <w:color w:val="64777E"/>
          <w:sz w:val="18"/>
          <w:szCs w:val="18"/>
          <w:lang w:val="en-US" w:eastAsia="en-US"/>
        </w:rPr>
      </w:pPr>
    </w:p>
    <w:p w14:paraId="0014B65A" w14:textId="77777777" w:rsidR="00B017FB" w:rsidRDefault="00B718F2" w:rsidP="00B017FB">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Team</w:t>
      </w:r>
    </w:p>
    <w:p w14:paraId="7021569A" w14:textId="6F8E126E" w:rsidR="00B718F2" w:rsidRDefault="00B017FB" w:rsidP="00B718F2">
      <w:pPr>
        <w:pStyle w:val="paragraph"/>
        <w:spacing w:before="0" w:beforeAutospacing="0" w:after="0" w:afterAutospacing="0"/>
        <w:textAlignment w:val="baseline"/>
        <w:rPr>
          <w:rStyle w:val="normaltextrun"/>
          <w:rFonts w:ascii="Segoe UI" w:hAnsi="Segoe UI" w:cs="Segoe UI"/>
          <w:color w:val="4A585E"/>
          <w:sz w:val="18"/>
          <w:szCs w:val="18"/>
        </w:rPr>
      </w:pPr>
      <w:r w:rsidRPr="00B017FB">
        <w:rPr>
          <w:rStyle w:val="normaltextrun"/>
          <w:rFonts w:ascii="Arial" w:eastAsiaTheme="majorEastAsia" w:hAnsi="Arial" w:cs="Arial"/>
          <w:color w:val="64777E"/>
          <w:sz w:val="18"/>
          <w:szCs w:val="18"/>
        </w:rPr>
        <w:t xml:space="preserve">The team is led by CIO, Sean Sequeira, who has been at Australian Eagle since 2004. Sequeria is assessed as being experienced and a highly capable leader of the investment team. Alan Kwan is the named portfolio manager on the Fund, however, Sequeria has ultimate decision-making authority, veto rights and </w:t>
      </w:r>
      <w:r w:rsidR="00E06F91">
        <w:rPr>
          <w:rStyle w:val="normaltextrun"/>
          <w:rFonts w:ascii="Arial" w:eastAsiaTheme="majorEastAsia" w:hAnsi="Arial" w:cs="Arial"/>
          <w:color w:val="64777E"/>
          <w:sz w:val="18"/>
          <w:szCs w:val="18"/>
        </w:rPr>
        <w:t xml:space="preserve">is </w:t>
      </w:r>
      <w:r w:rsidRPr="00B017FB">
        <w:rPr>
          <w:rStyle w:val="normaltextrun"/>
          <w:rFonts w:ascii="Arial" w:eastAsiaTheme="majorEastAsia" w:hAnsi="Arial" w:cs="Arial"/>
          <w:color w:val="64777E"/>
          <w:sz w:val="18"/>
          <w:szCs w:val="18"/>
        </w:rPr>
        <w:t xml:space="preserve">the key figure head. Providing support are two additional analysts as well as an investment committee that includes a risk </w:t>
      </w:r>
      <w:r w:rsidRPr="00B017FB">
        <w:rPr>
          <w:rStyle w:val="normaltextrun"/>
          <w:rFonts w:ascii="Arial" w:eastAsiaTheme="majorEastAsia" w:hAnsi="Arial" w:cs="Arial"/>
          <w:color w:val="64777E"/>
          <w:sz w:val="18"/>
          <w:szCs w:val="18"/>
        </w:rPr>
        <w:lastRenderedPageBreak/>
        <w:t xml:space="preserve">manager and Albert Hung. Hung was the architect of the strategy when it was being first built out. The manager has indicated that Hung is stepping back his involvement and acting more as a mentor. The team </w:t>
      </w:r>
      <w:proofErr w:type="gramStart"/>
      <w:r w:rsidRPr="00B017FB">
        <w:rPr>
          <w:rStyle w:val="normaltextrun"/>
          <w:rFonts w:ascii="Arial" w:eastAsiaTheme="majorEastAsia" w:hAnsi="Arial" w:cs="Arial"/>
          <w:color w:val="64777E"/>
          <w:sz w:val="18"/>
          <w:szCs w:val="18"/>
        </w:rPr>
        <w:t>is considered to be</w:t>
      </w:r>
      <w:proofErr w:type="gramEnd"/>
      <w:r w:rsidRPr="00B017FB">
        <w:rPr>
          <w:rStyle w:val="normaltextrun"/>
          <w:rFonts w:ascii="Arial" w:eastAsiaTheme="majorEastAsia" w:hAnsi="Arial" w:cs="Arial"/>
          <w:color w:val="64777E"/>
          <w:sz w:val="18"/>
          <w:szCs w:val="18"/>
        </w:rPr>
        <w:t xml:space="preserve"> adequately resourced given the narrowness of the investment universe and the length of time they have been working together. On a peer relative basis track-record and co-tenure is high.  </w:t>
      </w:r>
    </w:p>
    <w:p w14:paraId="3A07CD76" w14:textId="77777777" w:rsidR="00E06F91" w:rsidRPr="00E06F91" w:rsidRDefault="00E06F91" w:rsidP="00B718F2">
      <w:pPr>
        <w:pStyle w:val="paragraph"/>
        <w:spacing w:before="0" w:beforeAutospacing="0" w:after="0" w:afterAutospacing="0"/>
        <w:textAlignment w:val="baseline"/>
        <w:rPr>
          <w:rStyle w:val="normaltextrun"/>
          <w:rFonts w:ascii="Segoe UI" w:hAnsi="Segoe UI" w:cs="Segoe UI"/>
          <w:color w:val="4A585E"/>
          <w:sz w:val="18"/>
          <w:szCs w:val="18"/>
        </w:rPr>
      </w:pPr>
    </w:p>
    <w:p w14:paraId="4A043BBE" w14:textId="77777777" w:rsidR="00B718F2" w:rsidRDefault="00B718F2" w:rsidP="00B718F2">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Process</w:t>
      </w:r>
    </w:p>
    <w:p w14:paraId="333CF141" w14:textId="19626C49" w:rsidR="00B159A0" w:rsidRPr="00B159A0" w:rsidRDefault="00B159A0" w:rsidP="00B159A0">
      <w:pPr>
        <w:autoSpaceDE w:val="0"/>
        <w:autoSpaceDN w:val="0"/>
        <w:adjustRightInd w:val="0"/>
        <w:spacing w:after="100" w:line="276" w:lineRule="auto"/>
        <w:textAlignment w:val="center"/>
        <w:rPr>
          <w:rStyle w:val="normaltextrun"/>
          <w:rFonts w:ascii="Arial" w:eastAsiaTheme="majorEastAsia" w:hAnsi="Arial" w:cs="Arial"/>
          <w:color w:val="64777E"/>
          <w:kern w:val="0"/>
          <w:sz w:val="18"/>
          <w:szCs w:val="18"/>
          <w:lang w:eastAsia="en-AU"/>
          <w14:ligatures w14:val="none"/>
        </w:rPr>
      </w:pPr>
      <w:r w:rsidRPr="00B159A0">
        <w:rPr>
          <w:rStyle w:val="normaltextrun"/>
          <w:rFonts w:ascii="Arial" w:eastAsiaTheme="majorEastAsia" w:hAnsi="Arial" w:cs="Arial"/>
          <w:color w:val="64777E"/>
          <w:kern w:val="0"/>
          <w:sz w:val="18"/>
          <w:szCs w:val="18"/>
          <w:lang w:eastAsia="en-AU"/>
          <w14:ligatures w14:val="none"/>
        </w:rPr>
        <w:t>The Fund focuses on the ASX100 but maintains flexibility to include an additional 30 stocks of interest, creating a research universe of 130 names. It is benchmarked against the S&amp;P/ASX 100 Accumulation Index and follows a philosophy of investing in quality companies with sustainable competitive advantages, aiming to hold them until these advantages translate into returns. Idea generation emphasi</w:t>
      </w:r>
      <w:r w:rsidR="00C53C96">
        <w:rPr>
          <w:rStyle w:val="normaltextrun"/>
          <w:rFonts w:ascii="Arial" w:eastAsiaTheme="majorEastAsia" w:hAnsi="Arial" w:cs="Arial"/>
          <w:color w:val="64777E"/>
          <w:kern w:val="0"/>
          <w:sz w:val="18"/>
          <w:szCs w:val="18"/>
          <w:lang w:eastAsia="en-AU"/>
          <w14:ligatures w14:val="none"/>
        </w:rPr>
        <w:t>s</w:t>
      </w:r>
      <w:r w:rsidRPr="00B159A0">
        <w:rPr>
          <w:rStyle w:val="normaltextrun"/>
          <w:rFonts w:ascii="Arial" w:eastAsiaTheme="majorEastAsia" w:hAnsi="Arial" w:cs="Arial"/>
          <w:color w:val="64777E"/>
          <w:kern w:val="0"/>
          <w:sz w:val="18"/>
          <w:szCs w:val="18"/>
          <w:lang w:eastAsia="en-AU"/>
          <w14:ligatures w14:val="none"/>
        </w:rPr>
        <w:t xml:space="preserve">es quality, valuation, and identifying catalysts for re-rating, with analysts selecting the additional 30 stocks outside the ASX100. </w:t>
      </w:r>
    </w:p>
    <w:p w14:paraId="0A70CEF6" w14:textId="3700DC80" w:rsidR="000B5092" w:rsidRPr="0001388D" w:rsidRDefault="00B159A0" w:rsidP="000B5092">
      <w:pPr>
        <w:autoSpaceDE w:val="0"/>
        <w:autoSpaceDN w:val="0"/>
        <w:adjustRightInd w:val="0"/>
        <w:spacing w:after="100" w:line="276" w:lineRule="auto"/>
        <w:textAlignment w:val="center"/>
        <w:rPr>
          <w:rFonts w:ascii="Arial" w:eastAsiaTheme="majorEastAsia" w:hAnsi="Arial" w:cs="Arial"/>
          <w:color w:val="64777E"/>
          <w:kern w:val="0"/>
          <w:sz w:val="18"/>
          <w:szCs w:val="18"/>
          <w:lang w:eastAsia="en-AU"/>
          <w14:ligatures w14:val="none"/>
        </w:rPr>
      </w:pPr>
      <w:r w:rsidRPr="00B159A0">
        <w:rPr>
          <w:rStyle w:val="normaltextrun"/>
          <w:rFonts w:ascii="Arial" w:eastAsiaTheme="majorEastAsia" w:hAnsi="Arial" w:cs="Arial"/>
          <w:color w:val="64777E"/>
          <w:kern w:val="0"/>
          <w:sz w:val="18"/>
          <w:szCs w:val="18"/>
          <w:lang w:eastAsia="en-AU"/>
          <w14:ligatures w14:val="none"/>
        </w:rPr>
        <w:t>The portfolio consists of 25-35 long and 12-25 short positions, constructed using a structured scoring system combining quality and valuation metrics. Quality scores, re-evaluated semi-annually or with major news, must meet a threshold to be considered investable. This disciplined methodology enhances consistency and repeatability. Position sizing and sell decisions are determined by quality deterioration or overvaluation. Risk management includes flexibility to reduce short exposure during stress periods, though the one-year holding limit on shorts is seen as potentially detrimental to alpha generation. Overall, the structured and rules-based process is a key strength compared to peers.</w:t>
      </w:r>
    </w:p>
    <w:p w14:paraId="7C13C528" w14:textId="77777777" w:rsidR="00B718F2" w:rsidRDefault="00B718F2" w:rsidP="00B718F2">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Fees and operational considerations</w:t>
      </w:r>
    </w:p>
    <w:p w14:paraId="1D7F7FDA" w14:textId="06EC13AA" w:rsidR="00B718F2"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Management Fee</w:t>
      </w:r>
      <w:r w:rsidRPr="005D5872">
        <w:rPr>
          <w:rFonts w:ascii="Arial" w:eastAsia="Arial" w:hAnsi="Arial" w:cs="Minion Pro"/>
          <w:b/>
          <w:bCs/>
          <w:color w:val="64777E"/>
          <w:kern w:val="0"/>
          <w:sz w:val="18"/>
          <w:szCs w:val="18"/>
          <w:lang w:val="en-US"/>
          <w14:ligatures w14:val="none"/>
        </w:rPr>
        <w:t>:</w:t>
      </w:r>
      <w:r>
        <w:rPr>
          <w:rFonts w:ascii="Arial" w:eastAsia="Arial" w:hAnsi="Arial" w:cs="Minion Pro"/>
          <w:color w:val="64777E"/>
          <w:kern w:val="0"/>
          <w:sz w:val="18"/>
          <w:szCs w:val="18"/>
          <w:lang w:val="en-US"/>
          <w14:ligatures w14:val="none"/>
        </w:rPr>
        <w:t xml:space="preserve"> </w:t>
      </w:r>
      <w:r w:rsidR="00B54CD7">
        <w:rPr>
          <w:rFonts w:ascii="Arial" w:eastAsia="Arial" w:hAnsi="Arial" w:cs="Minion Pro"/>
          <w:color w:val="64777E"/>
          <w:kern w:val="0"/>
          <w:sz w:val="18"/>
          <w:szCs w:val="18"/>
          <w:lang w:val="en-US"/>
          <w14:ligatures w14:val="none"/>
        </w:rPr>
        <w:t>0.93</w:t>
      </w:r>
      <w:r>
        <w:rPr>
          <w:rFonts w:ascii="Arial" w:eastAsia="Arial" w:hAnsi="Arial" w:cs="Minion Pro"/>
          <w:color w:val="64777E"/>
          <w:kern w:val="0"/>
          <w:sz w:val="18"/>
          <w:szCs w:val="18"/>
          <w:lang w:val="en-US"/>
          <w14:ligatures w14:val="none"/>
        </w:rPr>
        <w:t>% p.a.</w:t>
      </w:r>
      <w:r w:rsidR="00B54CD7">
        <w:rPr>
          <w:rFonts w:ascii="Arial" w:eastAsia="Arial" w:hAnsi="Arial" w:cs="Minion Pro"/>
          <w:color w:val="64777E"/>
          <w:kern w:val="0"/>
          <w:sz w:val="18"/>
          <w:szCs w:val="18"/>
          <w:lang w:val="en-US"/>
          <w14:ligatures w14:val="none"/>
        </w:rPr>
        <w:t xml:space="preserve"> (includes rebate original fee = 1.23% p.a.)</w:t>
      </w:r>
    </w:p>
    <w:p w14:paraId="3F588C76" w14:textId="79B6921E" w:rsidR="00B718F2" w:rsidRPr="00F5232E"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Performance Fee: </w:t>
      </w:r>
      <w:r w:rsidR="00785EF8">
        <w:rPr>
          <w:rFonts w:ascii="Arial" w:eastAsia="Arial" w:hAnsi="Arial" w:cs="Minion Pro"/>
          <w:color w:val="64777E"/>
          <w:kern w:val="0"/>
          <w:sz w:val="18"/>
          <w:szCs w:val="18"/>
          <w:lang w:val="en-US"/>
          <w14:ligatures w14:val="none"/>
        </w:rPr>
        <w:t>20.50%</w:t>
      </w:r>
      <w:r w:rsidR="00AB03CF">
        <w:rPr>
          <w:rFonts w:ascii="Arial" w:eastAsia="Arial" w:hAnsi="Arial" w:cs="Minion Pro"/>
          <w:color w:val="64777E"/>
          <w:kern w:val="0"/>
          <w:sz w:val="18"/>
          <w:szCs w:val="18"/>
          <w:lang w:val="en-US"/>
          <w14:ligatures w14:val="none"/>
        </w:rPr>
        <w:t xml:space="preserve"> of excess performance above benchmark</w:t>
      </w:r>
      <w:r w:rsidR="0056681D">
        <w:rPr>
          <w:rFonts w:ascii="Arial" w:eastAsia="Arial" w:hAnsi="Arial" w:cs="Minion Pro"/>
          <w:color w:val="64777E"/>
          <w:kern w:val="0"/>
          <w:sz w:val="18"/>
          <w:szCs w:val="18"/>
          <w:lang w:val="en-US"/>
          <w14:ligatures w14:val="none"/>
        </w:rPr>
        <w:t xml:space="preserve"> with high watermark </w:t>
      </w:r>
    </w:p>
    <w:p w14:paraId="43116289" w14:textId="77777777" w:rsidR="00B718F2"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Liquidity: </w:t>
      </w:r>
      <w:r>
        <w:rPr>
          <w:rFonts w:ascii="Arial" w:eastAsia="Arial" w:hAnsi="Arial" w:cs="Minion Pro"/>
          <w:color w:val="64777E"/>
          <w:kern w:val="0"/>
          <w:sz w:val="18"/>
          <w:szCs w:val="18"/>
          <w:lang w:val="en-US"/>
          <w14:ligatures w14:val="none"/>
        </w:rPr>
        <w:t xml:space="preserve">Daily applications and redemptions. </w:t>
      </w:r>
    </w:p>
    <w:p w14:paraId="0CFDE92E" w14:textId="2948CC3D" w:rsidR="00B718F2"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Capacity: </w:t>
      </w:r>
      <w:r>
        <w:rPr>
          <w:rFonts w:ascii="Arial" w:eastAsia="Arial" w:hAnsi="Arial" w:cs="Minion Pro"/>
          <w:color w:val="64777E"/>
          <w:kern w:val="0"/>
          <w:sz w:val="18"/>
          <w:szCs w:val="18"/>
          <w:lang w:val="en-US"/>
          <w14:ligatures w14:val="none"/>
        </w:rPr>
        <w:t xml:space="preserve">The Fund </w:t>
      </w:r>
      <w:proofErr w:type="gramStart"/>
      <w:r>
        <w:rPr>
          <w:rFonts w:ascii="Arial" w:eastAsia="Arial" w:hAnsi="Arial" w:cs="Minion Pro"/>
          <w:color w:val="64777E"/>
          <w:kern w:val="0"/>
          <w:sz w:val="18"/>
          <w:szCs w:val="18"/>
          <w:lang w:val="en-US"/>
          <w14:ligatures w14:val="none"/>
        </w:rPr>
        <w:t>invests</w:t>
      </w:r>
      <w:proofErr w:type="gramEnd"/>
      <w:r>
        <w:rPr>
          <w:rFonts w:ascii="Arial" w:eastAsia="Arial" w:hAnsi="Arial" w:cs="Minion Pro"/>
          <w:color w:val="64777E"/>
          <w:kern w:val="0"/>
          <w:sz w:val="18"/>
          <w:szCs w:val="18"/>
          <w:lang w:val="en-US"/>
          <w14:ligatures w14:val="none"/>
        </w:rPr>
        <w:t xml:space="preserve"> across the ASX </w:t>
      </w:r>
      <w:r w:rsidR="00785EF8">
        <w:rPr>
          <w:rFonts w:ascii="Arial" w:eastAsia="Arial" w:hAnsi="Arial" w:cs="Minion Pro"/>
          <w:color w:val="64777E"/>
          <w:kern w:val="0"/>
          <w:sz w:val="18"/>
          <w:szCs w:val="18"/>
          <w:lang w:val="en-US"/>
          <w14:ligatures w14:val="none"/>
        </w:rPr>
        <w:t>150</w:t>
      </w:r>
      <w:r w:rsidR="00422DFF">
        <w:rPr>
          <w:rFonts w:ascii="Arial" w:eastAsia="Arial" w:hAnsi="Arial" w:cs="Minion Pro"/>
          <w:color w:val="64777E"/>
          <w:kern w:val="0"/>
          <w:sz w:val="18"/>
          <w:szCs w:val="18"/>
          <w:lang w:val="en-US"/>
          <w14:ligatures w14:val="none"/>
        </w:rPr>
        <w:t xml:space="preserve"> and</w:t>
      </w:r>
      <w:r>
        <w:rPr>
          <w:rFonts w:ascii="Arial" w:eastAsia="Arial" w:hAnsi="Arial" w:cs="Minion Pro"/>
          <w:color w:val="64777E"/>
          <w:kern w:val="0"/>
          <w:sz w:val="18"/>
          <w:szCs w:val="18"/>
          <w:lang w:val="en-US"/>
          <w14:ligatures w14:val="none"/>
        </w:rPr>
        <w:t xml:space="preserve"> is expected to remain </w:t>
      </w:r>
      <w:r w:rsidR="00422DFF">
        <w:rPr>
          <w:rFonts w:ascii="Arial" w:eastAsia="Arial" w:hAnsi="Arial" w:cs="Minion Pro"/>
          <w:color w:val="64777E"/>
          <w:kern w:val="0"/>
          <w:sz w:val="18"/>
          <w:szCs w:val="18"/>
          <w:lang w:val="en-US"/>
          <w14:ligatures w14:val="none"/>
        </w:rPr>
        <w:t>in</w:t>
      </w:r>
      <w:r>
        <w:rPr>
          <w:rFonts w:ascii="Arial" w:eastAsia="Arial" w:hAnsi="Arial" w:cs="Minion Pro"/>
          <w:color w:val="64777E"/>
          <w:kern w:val="0"/>
          <w:sz w:val="18"/>
          <w:szCs w:val="18"/>
          <w:lang w:val="en-US"/>
          <w14:ligatures w14:val="none"/>
        </w:rPr>
        <w:t xml:space="preserve"> the </w:t>
      </w:r>
      <w:r w:rsidR="00785EF8">
        <w:rPr>
          <w:rFonts w:ascii="Arial" w:eastAsia="Arial" w:hAnsi="Arial" w:cs="Minion Pro"/>
          <w:color w:val="64777E"/>
          <w:kern w:val="0"/>
          <w:sz w:val="18"/>
          <w:szCs w:val="18"/>
          <w:lang w:val="en-US"/>
          <w14:ligatures w14:val="none"/>
        </w:rPr>
        <w:t>large</w:t>
      </w:r>
      <w:r w:rsidR="00422DFF">
        <w:rPr>
          <w:rFonts w:ascii="Arial" w:eastAsia="Arial" w:hAnsi="Arial" w:cs="Minion Pro"/>
          <w:color w:val="64777E"/>
          <w:kern w:val="0"/>
          <w:sz w:val="18"/>
          <w:szCs w:val="18"/>
          <w:lang w:val="en-US"/>
          <w14:ligatures w14:val="none"/>
        </w:rPr>
        <w:t>-cap region</w:t>
      </w:r>
      <w:r>
        <w:rPr>
          <w:rFonts w:ascii="Arial" w:eastAsia="Arial" w:hAnsi="Arial" w:cs="Minion Pro"/>
          <w:color w:val="64777E"/>
          <w:kern w:val="0"/>
          <w:sz w:val="18"/>
          <w:szCs w:val="18"/>
          <w:lang w:val="en-US"/>
          <w14:ligatures w14:val="none"/>
        </w:rPr>
        <w:t xml:space="preserve"> of the market. </w:t>
      </w:r>
      <w:r w:rsidR="00422DFF">
        <w:rPr>
          <w:rFonts w:ascii="Arial" w:eastAsia="Arial" w:hAnsi="Arial" w:cs="Minion Pro"/>
          <w:color w:val="64777E"/>
          <w:kern w:val="0"/>
          <w:sz w:val="18"/>
          <w:szCs w:val="18"/>
          <w:lang w:val="en-US"/>
          <w14:ligatures w14:val="none"/>
        </w:rPr>
        <w:t>C</w:t>
      </w:r>
      <w:r>
        <w:rPr>
          <w:rFonts w:ascii="Arial" w:eastAsia="Arial" w:hAnsi="Arial" w:cs="Minion Pro"/>
          <w:color w:val="64777E"/>
          <w:kern w:val="0"/>
          <w:sz w:val="18"/>
          <w:szCs w:val="18"/>
          <w:lang w:val="en-US"/>
          <w14:ligatures w14:val="none"/>
        </w:rPr>
        <w:t>apacity is not a concern at current levels.</w:t>
      </w:r>
    </w:p>
    <w:p w14:paraId="03E74129" w14:textId="6A6FF94A" w:rsidR="00B718F2"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Minimum Investment:</w:t>
      </w:r>
      <w:r>
        <w:rPr>
          <w:rFonts w:ascii="Arial" w:eastAsia="Arial" w:hAnsi="Arial" w:cs="Minion Pro"/>
          <w:sz w:val="18"/>
          <w:szCs w:val="18"/>
          <w:lang w:val="en-US"/>
        </w:rPr>
        <w:t xml:space="preserve"> </w:t>
      </w:r>
      <w:r>
        <w:rPr>
          <w:rFonts w:ascii="Arial" w:eastAsia="Arial" w:hAnsi="Arial" w:cs="Minion Pro"/>
          <w:color w:val="64777E"/>
          <w:kern w:val="0"/>
          <w:sz w:val="18"/>
          <w:szCs w:val="18"/>
          <w:lang w:val="en-US"/>
          <w14:ligatures w14:val="none"/>
        </w:rPr>
        <w:t>$</w:t>
      </w:r>
      <w:r w:rsidR="00785EF8">
        <w:rPr>
          <w:rFonts w:ascii="Arial" w:eastAsia="Arial" w:hAnsi="Arial" w:cs="Minion Pro"/>
          <w:color w:val="64777E"/>
          <w:kern w:val="0"/>
          <w:sz w:val="18"/>
          <w:szCs w:val="18"/>
          <w:lang w:val="en-US"/>
          <w14:ligatures w14:val="none"/>
        </w:rPr>
        <w:t>25,000</w:t>
      </w:r>
    </w:p>
    <w:p w14:paraId="09F3F3C5" w14:textId="489FAF89" w:rsidR="00B718F2" w:rsidRPr="0001388D"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Responsible Entity: </w:t>
      </w:r>
      <w:r w:rsidR="00785EF8">
        <w:rPr>
          <w:rFonts w:ascii="Arial" w:eastAsia="Arial" w:hAnsi="Arial" w:cs="Minion Pro"/>
          <w:color w:val="64777E"/>
          <w:kern w:val="0"/>
          <w:sz w:val="18"/>
          <w:szCs w:val="18"/>
          <w:lang w:val="en-US"/>
          <w14:ligatures w14:val="none"/>
        </w:rPr>
        <w:t>The Trust Company</w:t>
      </w:r>
    </w:p>
    <w:p w14:paraId="6EDB8848" w14:textId="04E36616" w:rsidR="00B718F2" w:rsidRDefault="00B718F2" w:rsidP="00B718F2">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Performance</w:t>
      </w:r>
      <w:r w:rsidR="004D77E8">
        <w:rPr>
          <w:rStyle w:val="normaltextrun"/>
          <w:rFonts w:ascii="Arial" w:eastAsiaTheme="majorEastAsia" w:hAnsi="Arial" w:cs="Arial"/>
          <w:color w:val="76C204"/>
          <w:sz w:val="28"/>
          <w:szCs w:val="28"/>
        </w:rPr>
        <w:t xml:space="preserve"> – 31/12/24</w:t>
      </w:r>
    </w:p>
    <w:p w14:paraId="77082970" w14:textId="31894519" w:rsidR="00B718F2" w:rsidRDefault="00DB44C5" w:rsidP="00B718F2">
      <w:pPr>
        <w:spacing w:after="120" w:line="276" w:lineRule="auto"/>
        <w:rPr>
          <w:rFonts w:ascii="Arial" w:eastAsia="Arial" w:hAnsi="Arial" w:cs="Century Gothic Pro"/>
          <w:color w:val="64777E"/>
          <w:kern w:val="0"/>
          <w:sz w:val="18"/>
          <w:szCs w:val="18"/>
          <w14:ligatures w14:val="none"/>
        </w:rPr>
      </w:pPr>
      <w:r w:rsidRPr="00DB44C5">
        <w:rPr>
          <w:rFonts w:ascii="Arial" w:eastAsia="Arial" w:hAnsi="Arial" w:cs="Century Gothic Pro"/>
          <w:noProof/>
          <w:color w:val="64777E"/>
          <w:kern w:val="0"/>
          <w:sz w:val="18"/>
          <w:szCs w:val="18"/>
          <w14:ligatures w14:val="none"/>
        </w:rPr>
        <w:drawing>
          <wp:inline distT="0" distB="0" distL="0" distR="0" wp14:anchorId="7A2CAC8A" wp14:editId="01DD7A17">
            <wp:extent cx="4315968" cy="2579730"/>
            <wp:effectExtent l="0" t="0" r="8890" b="0"/>
            <wp:docPr id="20463498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49828" name="Picture 1" descr="A screenshot of a graph&#10;&#10;Description automatically generated"/>
                    <pic:cNvPicPr/>
                  </pic:nvPicPr>
                  <pic:blipFill>
                    <a:blip r:embed="rId9"/>
                    <a:stretch>
                      <a:fillRect/>
                    </a:stretch>
                  </pic:blipFill>
                  <pic:spPr>
                    <a:xfrm>
                      <a:off x="0" y="0"/>
                      <a:ext cx="4320168" cy="2582240"/>
                    </a:xfrm>
                    <a:prstGeom prst="rect">
                      <a:avLst/>
                    </a:prstGeom>
                  </pic:spPr>
                </pic:pic>
              </a:graphicData>
            </a:graphic>
          </wp:inline>
        </w:drawing>
      </w:r>
    </w:p>
    <w:p w14:paraId="70F267DF" w14:textId="18B874E7" w:rsidR="00560C6C" w:rsidRPr="00560C6C" w:rsidRDefault="00560C6C" w:rsidP="00560C6C">
      <w:pPr>
        <w:spacing w:after="120" w:line="276" w:lineRule="auto"/>
        <w:rPr>
          <w:rFonts w:ascii="Arial" w:eastAsia="Arial" w:hAnsi="Arial" w:cs="Century Gothic Pro"/>
          <w:color w:val="64777E"/>
          <w:kern w:val="0"/>
          <w:sz w:val="18"/>
          <w:szCs w:val="18"/>
          <w14:ligatures w14:val="none"/>
        </w:rPr>
      </w:pPr>
      <w:r w:rsidRPr="00560C6C">
        <w:rPr>
          <w:rFonts w:ascii="Arial" w:eastAsia="Arial" w:hAnsi="Arial" w:cs="Century Gothic Pro"/>
          <w:color w:val="64777E"/>
          <w:kern w:val="0"/>
          <w:sz w:val="18"/>
          <w:szCs w:val="18"/>
          <w14:ligatures w14:val="none"/>
        </w:rPr>
        <w:t xml:space="preserve">The Fund's performance has faced considerable pressure, underperforming the benchmark by </w:t>
      </w:r>
      <w:r>
        <w:rPr>
          <w:rFonts w:ascii="Arial" w:eastAsia="Arial" w:hAnsi="Arial" w:cs="Century Gothic Pro"/>
          <w:color w:val="64777E"/>
          <w:kern w:val="0"/>
          <w:sz w:val="18"/>
          <w:szCs w:val="18"/>
          <w14:ligatures w14:val="none"/>
        </w:rPr>
        <w:t>4.7</w:t>
      </w:r>
      <w:r w:rsidRPr="00560C6C">
        <w:rPr>
          <w:rFonts w:ascii="Arial" w:eastAsia="Arial" w:hAnsi="Arial" w:cs="Century Gothic Pro"/>
          <w:color w:val="64777E"/>
          <w:kern w:val="0"/>
          <w:sz w:val="18"/>
          <w:szCs w:val="18"/>
          <w14:ligatures w14:val="none"/>
        </w:rPr>
        <w:t xml:space="preserve">% over the 12 months to </w:t>
      </w:r>
      <w:r>
        <w:rPr>
          <w:rFonts w:ascii="Arial" w:eastAsia="Arial" w:hAnsi="Arial" w:cs="Century Gothic Pro"/>
          <w:color w:val="64777E"/>
          <w:kern w:val="0"/>
          <w:sz w:val="18"/>
          <w:szCs w:val="18"/>
          <w14:ligatures w14:val="none"/>
        </w:rPr>
        <w:t>December</w:t>
      </w:r>
      <w:r w:rsidRPr="00560C6C">
        <w:rPr>
          <w:rFonts w:ascii="Arial" w:eastAsia="Arial" w:hAnsi="Arial" w:cs="Century Gothic Pro"/>
          <w:color w:val="64777E"/>
          <w:kern w:val="0"/>
          <w:sz w:val="18"/>
          <w:szCs w:val="18"/>
          <w14:ligatures w14:val="none"/>
        </w:rPr>
        <w:t xml:space="preserve"> 2024. This underperformance has been largely driven by the short side, which contributed over 6% in negative attribution. The Manager’s relatively small investment universe has limited their ability to effectively construct a meaningful short book.</w:t>
      </w:r>
    </w:p>
    <w:p w14:paraId="3E324342" w14:textId="1E87D9E3" w:rsidR="00183A58" w:rsidRPr="00B718F2" w:rsidRDefault="00560C6C" w:rsidP="00560C6C">
      <w:pPr>
        <w:spacing w:after="120" w:line="276" w:lineRule="auto"/>
        <w:rPr>
          <w:rFonts w:ascii="Arial" w:eastAsia="Arial" w:hAnsi="Arial" w:cs="Century Gothic Pro"/>
          <w:color w:val="64777E"/>
          <w:kern w:val="0"/>
          <w:sz w:val="18"/>
          <w:szCs w:val="18"/>
          <w14:ligatures w14:val="none"/>
        </w:rPr>
      </w:pPr>
      <w:r w:rsidRPr="00560C6C">
        <w:rPr>
          <w:rFonts w:ascii="Arial" w:eastAsia="Arial" w:hAnsi="Arial" w:cs="Century Gothic Pro"/>
          <w:color w:val="64777E"/>
          <w:kern w:val="0"/>
          <w:sz w:val="18"/>
          <w:szCs w:val="18"/>
          <w14:ligatures w14:val="none"/>
        </w:rPr>
        <w:t>In theory, a long/short strategy should generate returns across market cycles, regardless of market direction. However, recent performance has exposed weaknesses in the strategy, particularly the Manager's constrained stock selection universe and the difficulty in swiftly exiting poorly performing short positions. This inability to adapt and rotate out of losing shorts has magnified the strategy's downside during periods of volatility, raising concerns about its resilience in dynamic market environments.</w:t>
      </w:r>
    </w:p>
    <w:sectPr w:rsidR="00183A58" w:rsidRPr="00B71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Century Gothic Pro">
    <w:altName w:val="Calibri"/>
    <w:panose1 w:val="00000000000000000000"/>
    <w:charset w:val="00"/>
    <w:family w:val="swiss"/>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9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B718F2"/>
    <w:rsid w:val="0001388D"/>
    <w:rsid w:val="00065BB5"/>
    <w:rsid w:val="00080E75"/>
    <w:rsid w:val="00083A9C"/>
    <w:rsid w:val="000A7203"/>
    <w:rsid w:val="000B5092"/>
    <w:rsid w:val="000C7CAD"/>
    <w:rsid w:val="001502D5"/>
    <w:rsid w:val="00183A58"/>
    <w:rsid w:val="001A0B21"/>
    <w:rsid w:val="001A199D"/>
    <w:rsid w:val="001F0464"/>
    <w:rsid w:val="001F59B4"/>
    <w:rsid w:val="00200B36"/>
    <w:rsid w:val="002117EE"/>
    <w:rsid w:val="00257F78"/>
    <w:rsid w:val="00271640"/>
    <w:rsid w:val="00277623"/>
    <w:rsid w:val="002F69CC"/>
    <w:rsid w:val="00317526"/>
    <w:rsid w:val="00317C0A"/>
    <w:rsid w:val="00323A8E"/>
    <w:rsid w:val="00340B7F"/>
    <w:rsid w:val="00373D81"/>
    <w:rsid w:val="00391B6C"/>
    <w:rsid w:val="003D0C5E"/>
    <w:rsid w:val="003D44F3"/>
    <w:rsid w:val="003F301E"/>
    <w:rsid w:val="00422DFF"/>
    <w:rsid w:val="0046106A"/>
    <w:rsid w:val="004617FB"/>
    <w:rsid w:val="00466317"/>
    <w:rsid w:val="00473849"/>
    <w:rsid w:val="0048053A"/>
    <w:rsid w:val="0048791A"/>
    <w:rsid w:val="004D77E8"/>
    <w:rsid w:val="00537AF8"/>
    <w:rsid w:val="00550BA8"/>
    <w:rsid w:val="00553CD9"/>
    <w:rsid w:val="00560C6C"/>
    <w:rsid w:val="0056681D"/>
    <w:rsid w:val="005709A2"/>
    <w:rsid w:val="005B079F"/>
    <w:rsid w:val="006064B0"/>
    <w:rsid w:val="00615D5D"/>
    <w:rsid w:val="006300FE"/>
    <w:rsid w:val="00645FDA"/>
    <w:rsid w:val="006821EB"/>
    <w:rsid w:val="00682AC9"/>
    <w:rsid w:val="006A2E4E"/>
    <w:rsid w:val="006B7FC6"/>
    <w:rsid w:val="006D5C62"/>
    <w:rsid w:val="006F6157"/>
    <w:rsid w:val="007419F1"/>
    <w:rsid w:val="00753AEF"/>
    <w:rsid w:val="00785EF8"/>
    <w:rsid w:val="007967CC"/>
    <w:rsid w:val="007A419D"/>
    <w:rsid w:val="007A5D46"/>
    <w:rsid w:val="007D196F"/>
    <w:rsid w:val="007F4443"/>
    <w:rsid w:val="008607B4"/>
    <w:rsid w:val="0086156B"/>
    <w:rsid w:val="00873BC0"/>
    <w:rsid w:val="00A02AFA"/>
    <w:rsid w:val="00A02C67"/>
    <w:rsid w:val="00A13D4E"/>
    <w:rsid w:val="00A54163"/>
    <w:rsid w:val="00A62E8E"/>
    <w:rsid w:val="00A874A6"/>
    <w:rsid w:val="00A9121F"/>
    <w:rsid w:val="00AB03CF"/>
    <w:rsid w:val="00AF1739"/>
    <w:rsid w:val="00AF4289"/>
    <w:rsid w:val="00B016B6"/>
    <w:rsid w:val="00B017FB"/>
    <w:rsid w:val="00B159A0"/>
    <w:rsid w:val="00B1796F"/>
    <w:rsid w:val="00B4731A"/>
    <w:rsid w:val="00B52B64"/>
    <w:rsid w:val="00B54CD7"/>
    <w:rsid w:val="00B718F2"/>
    <w:rsid w:val="00B87759"/>
    <w:rsid w:val="00BE32E7"/>
    <w:rsid w:val="00C25C90"/>
    <w:rsid w:val="00C53C96"/>
    <w:rsid w:val="00C57478"/>
    <w:rsid w:val="00C9543E"/>
    <w:rsid w:val="00CB113F"/>
    <w:rsid w:val="00CF4594"/>
    <w:rsid w:val="00CF513A"/>
    <w:rsid w:val="00D22EAC"/>
    <w:rsid w:val="00D24D70"/>
    <w:rsid w:val="00D33231"/>
    <w:rsid w:val="00D440DD"/>
    <w:rsid w:val="00DB44C5"/>
    <w:rsid w:val="00DF7D2B"/>
    <w:rsid w:val="00E06F91"/>
    <w:rsid w:val="00E11AC2"/>
    <w:rsid w:val="00E93768"/>
    <w:rsid w:val="00EA47C1"/>
    <w:rsid w:val="00EA5DD5"/>
    <w:rsid w:val="00F37D33"/>
    <w:rsid w:val="00F653D2"/>
    <w:rsid w:val="00F84062"/>
    <w:rsid w:val="00FC1FB0"/>
    <w:rsid w:val="00FE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1D6A"/>
  <w15:chartTrackingRefBased/>
  <w15:docId w15:val="{0CD095B8-6E31-4B80-8A5C-653368D8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718F2"/>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B718F2"/>
  </w:style>
  <w:style w:type="character" w:customStyle="1" w:styleId="normaltextrun">
    <w:name w:val="normaltextrun"/>
    <w:basedOn w:val="DefaultParagraphFont"/>
    <w:rsid w:val="00B718F2"/>
  </w:style>
  <w:style w:type="character" w:customStyle="1" w:styleId="eop">
    <w:name w:val="eop"/>
    <w:basedOn w:val="DefaultParagraphFont"/>
    <w:rsid w:val="00B718F2"/>
  </w:style>
  <w:style w:type="character" w:customStyle="1" w:styleId="tabchar">
    <w:name w:val="tabchar"/>
    <w:basedOn w:val="DefaultParagraphFont"/>
    <w:rsid w:val="00B7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E7D700-D8C5-45C9-BCAB-82EA2EBB9168}">
  <ds:schemaRefs>
    <ds:schemaRef ds:uri="http://schemas.microsoft.com/sharepoint/v3/contenttype/forms"/>
  </ds:schemaRefs>
</ds:datastoreItem>
</file>

<file path=customXml/itemProps2.xml><?xml version="1.0" encoding="utf-8"?>
<ds:datastoreItem xmlns:ds="http://schemas.openxmlformats.org/officeDocument/2006/customXml" ds:itemID="{EAF81F14-B9A2-4329-B595-EBA2615BEE12}">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3.xml><?xml version="1.0" encoding="utf-8"?>
<ds:datastoreItem xmlns:ds="http://schemas.openxmlformats.org/officeDocument/2006/customXml" ds:itemID="{10554D38-1868-4AC4-B2C8-01F80EA95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Nick Hatzis</cp:lastModifiedBy>
  <cp:revision>2</cp:revision>
  <dcterms:created xsi:type="dcterms:W3CDTF">2025-01-22T01:04:00Z</dcterms:created>
  <dcterms:modified xsi:type="dcterms:W3CDTF">2025-01-22T01:04:00Z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ies>
</file>