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FACAB" w14:textId="77777777" w:rsidR="00B718F2" w:rsidRDefault="00B718F2" w:rsidP="00B718F2">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5A0BAF23" wp14:editId="0D4ABCF1">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FDE48" w14:textId="77777777" w:rsidR="00B718F2" w:rsidRDefault="00B718F2" w:rsidP="00B718F2">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15FD1F44" w14:textId="2AA538A4" w:rsidR="00FC1FB0" w:rsidRDefault="00B718F2" w:rsidP="00FC1FB0">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w:t>
      </w:r>
      <w:r w:rsidR="00FC1FB0">
        <w:rPr>
          <w:rStyle w:val="eop"/>
          <w:rFonts w:ascii="Arial" w:eastAsiaTheme="majorEastAsia" w:hAnsi="Arial" w:cs="Arial"/>
          <w:color w:val="75C104"/>
          <w:sz w:val="28"/>
          <w:szCs w:val="28"/>
        </w:rPr>
        <w:t>5</w:t>
      </w:r>
    </w:p>
    <w:p w14:paraId="52929392" w14:textId="77777777" w:rsidR="00B718F2" w:rsidRPr="008D30BD" w:rsidRDefault="00B718F2" w:rsidP="00B718F2">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5C343954" w14:textId="77777777" w:rsidR="00B718F2" w:rsidRDefault="00B718F2" w:rsidP="00B718F2">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5A883DEE" w14:textId="1C0BB23A" w:rsidR="00B718F2" w:rsidRDefault="00B718F2" w:rsidP="00B718F2">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APL Removal – Australian Equities</w:t>
      </w:r>
    </w:p>
    <w:p w14:paraId="37BCBB50" w14:textId="77777777" w:rsidR="00B718F2" w:rsidRDefault="00B718F2" w:rsidP="00B718F2">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645BE593" w14:textId="4D04FCC8" w:rsidR="00B718F2" w:rsidRDefault="00B718F2" w:rsidP="00B718F2">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Auscap Long Short </w:t>
      </w:r>
      <w:r>
        <w:rPr>
          <w:rStyle w:val="normaltextrun"/>
          <w:rFonts w:ascii="Arial" w:eastAsiaTheme="majorEastAsia" w:hAnsi="Arial" w:cs="Arial"/>
          <w:b/>
          <w:bCs/>
          <w:color w:val="75C104"/>
          <w:sz w:val="28"/>
          <w:szCs w:val="28"/>
        </w:rPr>
        <w:t xml:space="preserve">Australian </w:t>
      </w:r>
      <w:r>
        <w:rPr>
          <w:rStyle w:val="normaltextrun"/>
          <w:rFonts w:ascii="Arial" w:eastAsiaTheme="majorEastAsia" w:hAnsi="Arial" w:cs="Arial"/>
          <w:b/>
          <w:bCs/>
          <w:color w:val="75C104"/>
          <w:sz w:val="28"/>
          <w:szCs w:val="28"/>
        </w:rPr>
        <w:t xml:space="preserve">Equities </w:t>
      </w:r>
      <w:r>
        <w:rPr>
          <w:rStyle w:val="normaltextrun"/>
          <w:rFonts w:ascii="Arial" w:eastAsiaTheme="majorEastAsia" w:hAnsi="Arial" w:cs="Arial"/>
          <w:b/>
          <w:bCs/>
          <w:color w:val="75C104"/>
          <w:sz w:val="28"/>
          <w:szCs w:val="28"/>
        </w:rPr>
        <w:t>Fund</w:t>
      </w:r>
      <w:r>
        <w:rPr>
          <w:rStyle w:val="tabchar"/>
          <w:rFonts w:ascii="Calibri" w:hAnsi="Calibri" w:cs="Calibri"/>
          <w:color w:val="75C104"/>
          <w:sz w:val="28"/>
          <w:szCs w:val="28"/>
        </w:rPr>
        <w:tab/>
      </w:r>
      <w:r>
        <w:rPr>
          <w:rStyle w:val="eop"/>
          <w:rFonts w:ascii="Arial" w:eastAsiaTheme="majorEastAsia" w:hAnsi="Arial" w:cs="Arial"/>
          <w:color w:val="75C104"/>
          <w:sz w:val="28"/>
          <w:szCs w:val="28"/>
        </w:rPr>
        <w:t> </w:t>
      </w:r>
    </w:p>
    <w:p w14:paraId="34832978" w14:textId="536271D3" w:rsidR="00B718F2" w:rsidRDefault="00B718F2" w:rsidP="00B718F2">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Pr>
          <w:rStyle w:val="normaltextrun"/>
          <w:rFonts w:ascii="Arial" w:eastAsiaTheme="majorEastAsia" w:hAnsi="Arial" w:cs="Arial"/>
          <w:b/>
          <w:bCs/>
          <w:color w:val="75C104"/>
          <w:sz w:val="28"/>
          <w:szCs w:val="28"/>
        </w:rPr>
        <w:t>ASX0001AU</w:t>
      </w:r>
    </w:p>
    <w:p w14:paraId="2F765C06" w14:textId="77777777" w:rsidR="00B718F2" w:rsidRDefault="00B718F2" w:rsidP="00B718F2">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6AB51790" w14:textId="77777777" w:rsidR="00B718F2" w:rsidRDefault="00B718F2" w:rsidP="00B718F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3737E1A6" w14:textId="3E22156F" w:rsidR="00B718F2" w:rsidRPr="00081220" w:rsidRDefault="00B718F2" w:rsidP="00B718F2">
      <w:pPr>
        <w:pStyle w:val="paragraph"/>
        <w:spacing w:before="0" w:beforeAutospacing="0" w:after="0" w:afterAutospacing="0"/>
        <w:textAlignment w:val="baseline"/>
        <w:rPr>
          <w:rStyle w:val="normaltextrun"/>
          <w:rFonts w:ascii="Arial" w:eastAsiaTheme="majorEastAsia" w:hAnsi="Arial"/>
          <w:color w:val="64777E"/>
          <w:sz w:val="18"/>
        </w:rPr>
      </w:pPr>
      <w:r w:rsidRPr="00B718F2">
        <w:rPr>
          <w:rStyle w:val="normaltextrun"/>
          <w:rFonts w:ascii="Arial" w:eastAsiaTheme="majorEastAsia" w:hAnsi="Arial" w:cs="Arial"/>
          <w:color w:val="64777E"/>
          <w:sz w:val="18"/>
          <w:szCs w:val="18"/>
        </w:rPr>
        <w:t xml:space="preserve">The </w:t>
      </w:r>
      <w:r w:rsidRPr="00B718F2">
        <w:rPr>
          <w:rStyle w:val="normaltextrun"/>
          <w:rFonts w:ascii="Arial" w:eastAsiaTheme="majorEastAsia" w:hAnsi="Arial" w:cs="Arial"/>
          <w:b/>
          <w:bCs/>
          <w:color w:val="64777E"/>
          <w:sz w:val="18"/>
          <w:szCs w:val="18"/>
        </w:rPr>
        <w:t xml:space="preserve">Auscap Long Short </w:t>
      </w:r>
      <w:r w:rsidRPr="00B718F2">
        <w:rPr>
          <w:rStyle w:val="normaltextrun"/>
          <w:rFonts w:ascii="Arial" w:eastAsiaTheme="majorEastAsia" w:hAnsi="Arial" w:cs="Arial"/>
          <w:b/>
          <w:bCs/>
          <w:color w:val="64777E"/>
          <w:sz w:val="18"/>
          <w:szCs w:val="18"/>
        </w:rPr>
        <w:t xml:space="preserve">Australian </w:t>
      </w:r>
      <w:r w:rsidRPr="00B718F2">
        <w:rPr>
          <w:rStyle w:val="normaltextrun"/>
          <w:rFonts w:ascii="Arial" w:eastAsiaTheme="majorEastAsia" w:hAnsi="Arial" w:cs="Arial"/>
          <w:b/>
          <w:bCs/>
          <w:color w:val="64777E"/>
          <w:sz w:val="18"/>
          <w:szCs w:val="18"/>
        </w:rPr>
        <w:t xml:space="preserve">Equities </w:t>
      </w:r>
      <w:r w:rsidRPr="00B718F2">
        <w:rPr>
          <w:rStyle w:val="normaltextrun"/>
          <w:rFonts w:ascii="Arial" w:eastAsiaTheme="majorEastAsia" w:hAnsi="Arial" w:cs="Arial"/>
          <w:b/>
          <w:bCs/>
          <w:color w:val="64777E"/>
          <w:sz w:val="18"/>
          <w:szCs w:val="18"/>
        </w:rPr>
        <w:t>Fund</w:t>
      </w:r>
      <w:r w:rsidRPr="00081220">
        <w:rPr>
          <w:rStyle w:val="normaltextrun"/>
          <w:rFonts w:ascii="Arial" w:eastAsiaTheme="majorEastAsia" w:hAnsi="Arial"/>
          <w:color w:val="64777E"/>
          <w:sz w:val="18"/>
        </w:rPr>
        <w:t xml:space="preserve"> </w:t>
      </w:r>
      <w:r w:rsidRPr="00B718F2">
        <w:rPr>
          <w:rStyle w:val="normaltextrun"/>
          <w:rFonts w:ascii="Arial" w:eastAsiaTheme="majorEastAsia" w:hAnsi="Arial" w:cs="Arial"/>
          <w:color w:val="64777E"/>
          <w:sz w:val="18"/>
          <w:szCs w:val="18"/>
        </w:rPr>
        <w:t xml:space="preserve">(the “Fund”) is managed by </w:t>
      </w:r>
      <w:r w:rsidRPr="00B718F2">
        <w:rPr>
          <w:rStyle w:val="normaltextrun"/>
          <w:rFonts w:ascii="Arial" w:eastAsiaTheme="majorEastAsia" w:hAnsi="Arial" w:cs="Arial"/>
          <w:color w:val="64777E"/>
          <w:sz w:val="18"/>
          <w:szCs w:val="18"/>
        </w:rPr>
        <w:t>Auscap</w:t>
      </w:r>
      <w:r w:rsidRPr="00B718F2">
        <w:rPr>
          <w:rStyle w:val="normaltextrun"/>
          <w:rFonts w:ascii="Arial" w:eastAsiaTheme="majorEastAsia" w:hAnsi="Arial" w:cs="Arial"/>
          <w:color w:val="64777E"/>
          <w:sz w:val="18"/>
          <w:szCs w:val="18"/>
        </w:rPr>
        <w:t xml:space="preserve"> and was incepted in </w:t>
      </w:r>
      <w:r w:rsidRPr="00B718F2">
        <w:rPr>
          <w:rStyle w:val="normaltextrun"/>
          <w:rFonts w:ascii="Arial" w:eastAsiaTheme="majorEastAsia" w:hAnsi="Arial" w:cs="Arial"/>
          <w:color w:val="64777E"/>
          <w:sz w:val="18"/>
          <w:szCs w:val="18"/>
        </w:rPr>
        <w:t>December 2012. Auscap</w:t>
      </w:r>
      <w:r w:rsidRPr="00B718F2">
        <w:rPr>
          <w:rStyle w:val="normaltextrun"/>
          <w:rFonts w:ascii="Arial" w:eastAsiaTheme="majorEastAsia" w:hAnsi="Arial" w:cs="Arial"/>
          <w:color w:val="64777E"/>
          <w:sz w:val="18"/>
          <w:szCs w:val="18"/>
        </w:rPr>
        <w:t xml:space="preserve"> is a </w:t>
      </w:r>
      <w:r w:rsidRPr="00B718F2">
        <w:rPr>
          <w:rStyle w:val="normaltextrun"/>
          <w:rFonts w:ascii="Arial" w:eastAsiaTheme="majorEastAsia" w:hAnsi="Arial" w:cs="Arial"/>
          <w:color w:val="64777E"/>
          <w:sz w:val="18"/>
          <w:szCs w:val="18"/>
        </w:rPr>
        <w:t>dedicated</w:t>
      </w:r>
      <w:r w:rsidRPr="00B718F2">
        <w:rPr>
          <w:rStyle w:val="normaltextrun"/>
          <w:rFonts w:ascii="Arial" w:eastAsiaTheme="majorEastAsia" w:hAnsi="Arial" w:cs="Arial"/>
          <w:color w:val="64777E"/>
          <w:sz w:val="18"/>
          <w:szCs w:val="18"/>
        </w:rPr>
        <w:t xml:space="preserve"> Australian equities manager with a focus on </w:t>
      </w:r>
      <w:r w:rsidRPr="00B718F2">
        <w:rPr>
          <w:rStyle w:val="normaltextrun"/>
          <w:rFonts w:ascii="Arial" w:eastAsiaTheme="majorEastAsia" w:hAnsi="Arial" w:cs="Arial"/>
          <w:color w:val="64777E"/>
          <w:sz w:val="18"/>
          <w:szCs w:val="18"/>
        </w:rPr>
        <w:t xml:space="preserve">value and </w:t>
      </w:r>
      <w:r w:rsidRPr="00B718F2">
        <w:rPr>
          <w:rStyle w:val="normaltextrun"/>
          <w:rFonts w:ascii="Arial" w:eastAsiaTheme="majorEastAsia" w:hAnsi="Arial" w:cs="Arial"/>
          <w:color w:val="64777E"/>
          <w:sz w:val="18"/>
          <w:szCs w:val="18"/>
        </w:rPr>
        <w:t>quality.</w:t>
      </w:r>
      <w:r w:rsidRPr="00081220">
        <w:rPr>
          <w:rStyle w:val="normaltextrun"/>
          <w:rFonts w:ascii="Arial" w:eastAsiaTheme="majorEastAsia" w:hAnsi="Arial"/>
          <w:color w:val="64777E"/>
          <w:sz w:val="18"/>
        </w:rPr>
        <w:t xml:space="preserve"> </w:t>
      </w:r>
      <w:r w:rsidRPr="00B718F2">
        <w:rPr>
          <w:rStyle w:val="normaltextrun"/>
          <w:rFonts w:ascii="Arial" w:eastAsiaTheme="majorEastAsia" w:hAnsi="Arial" w:cs="Arial"/>
          <w:color w:val="64777E"/>
          <w:sz w:val="18"/>
          <w:szCs w:val="18"/>
        </w:rPr>
        <w:t>The Long Short Fund is</w:t>
      </w:r>
      <w:r w:rsidRPr="00B718F2">
        <w:rPr>
          <w:rStyle w:val="normaltextrun"/>
          <w:rFonts w:ascii="Arial" w:eastAsiaTheme="majorEastAsia" w:hAnsi="Arial" w:cs="Arial"/>
          <w:color w:val="64777E"/>
          <w:sz w:val="18"/>
          <w:szCs w:val="18"/>
        </w:rPr>
        <w:t xml:space="preserve"> a </w:t>
      </w:r>
      <w:r w:rsidRPr="00B718F2">
        <w:rPr>
          <w:rStyle w:val="normaltextrun"/>
          <w:rFonts w:ascii="Arial" w:eastAsiaTheme="majorEastAsia" w:hAnsi="Arial" w:cs="Arial"/>
          <w:color w:val="64777E"/>
          <w:sz w:val="18"/>
          <w:szCs w:val="18"/>
        </w:rPr>
        <w:t>high conviction</w:t>
      </w:r>
      <w:r w:rsidRPr="00B718F2">
        <w:rPr>
          <w:rStyle w:val="normaltextrun"/>
          <w:rFonts w:ascii="Arial" w:eastAsiaTheme="majorEastAsia" w:hAnsi="Arial" w:cs="Arial"/>
          <w:color w:val="64777E"/>
          <w:sz w:val="18"/>
          <w:szCs w:val="18"/>
        </w:rPr>
        <w:t xml:space="preserve"> portfolio </w:t>
      </w:r>
      <w:r w:rsidRPr="00B718F2">
        <w:rPr>
          <w:rStyle w:val="normaltextrun"/>
          <w:rFonts w:ascii="Arial" w:eastAsiaTheme="majorEastAsia" w:hAnsi="Arial" w:cs="Arial"/>
          <w:color w:val="64777E"/>
          <w:sz w:val="18"/>
          <w:szCs w:val="18"/>
        </w:rPr>
        <w:t>that is typically invested in 30 to 60 securities</w:t>
      </w:r>
      <w:r w:rsidRPr="00B718F2">
        <w:rPr>
          <w:rStyle w:val="normaltextrun"/>
          <w:rFonts w:ascii="Arial" w:eastAsiaTheme="majorEastAsia" w:hAnsi="Arial" w:cs="Arial"/>
          <w:color w:val="64777E"/>
          <w:sz w:val="18"/>
          <w:szCs w:val="18"/>
        </w:rPr>
        <w:t>. The Fund</w:t>
      </w:r>
      <w:r w:rsidRPr="00081220">
        <w:rPr>
          <w:rStyle w:val="normaltextrun"/>
          <w:rFonts w:ascii="Arial" w:eastAsiaTheme="majorEastAsia" w:hAnsi="Arial"/>
          <w:color w:val="64777E"/>
          <w:sz w:val="18"/>
        </w:rPr>
        <w:t xml:space="preserve"> is structured as an open-ended unlisted registered managed investment scheme.</w:t>
      </w:r>
    </w:p>
    <w:p w14:paraId="4395019F" w14:textId="77777777" w:rsidR="00B718F2" w:rsidRPr="006249B6" w:rsidRDefault="00B718F2" w:rsidP="00B718F2">
      <w:pPr>
        <w:pStyle w:val="paragraph"/>
        <w:spacing w:before="0" w:beforeAutospacing="0" w:after="0" w:afterAutospacing="0"/>
        <w:textAlignment w:val="baseline"/>
        <w:rPr>
          <w:rStyle w:val="normaltextrun"/>
          <w:rFonts w:ascii="Segoe UI" w:hAnsi="Segoe UI" w:cs="Segoe UI"/>
          <w:color w:val="64777E"/>
          <w:sz w:val="18"/>
          <w:szCs w:val="18"/>
        </w:rPr>
      </w:pPr>
    </w:p>
    <w:p w14:paraId="3B3E8FE2" w14:textId="77777777" w:rsidR="000B5092" w:rsidRDefault="00B718F2" w:rsidP="000B509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 xml:space="preserve">Reason for APL Removal  </w:t>
      </w:r>
    </w:p>
    <w:p w14:paraId="1F51BCB3" w14:textId="16F99497" w:rsidR="000B5092" w:rsidRDefault="000B5092" w:rsidP="000B5092">
      <w:pPr>
        <w:pStyle w:val="paragraph"/>
        <w:spacing w:before="0" w:beforeAutospacing="0" w:after="0" w:afterAutospacing="0"/>
        <w:textAlignment w:val="baseline"/>
        <w:rPr>
          <w:rStyle w:val="normaltextrun"/>
          <w:rFonts w:ascii="Segoe UI" w:hAnsi="Segoe UI" w:cs="Segoe UI"/>
          <w:color w:val="4A585E"/>
          <w:sz w:val="18"/>
          <w:szCs w:val="18"/>
        </w:rPr>
      </w:pPr>
      <w:r w:rsidRPr="000B5092">
        <w:rPr>
          <w:rStyle w:val="normaltextrun"/>
          <w:rFonts w:ascii="Arial" w:eastAsiaTheme="majorEastAsia" w:hAnsi="Arial" w:cs="Arial"/>
          <w:color w:val="64777E"/>
          <w:kern w:val="2"/>
          <w:sz w:val="18"/>
          <w:szCs w:val="18"/>
          <w:lang w:eastAsia="en-US"/>
          <w14:ligatures w14:val="standardContextual"/>
        </w:rPr>
        <w:t>The Auscap Long Short Australian Equities Fund has undergone a significant transformation, removing its short book and rebranding as the Auscap High Conviction Fund. This strategic shift reflects a transition to a long-only Australian equities strategy, departing from its initial purpose as a long/short fund. The portfolio will now consist of approximately 40 long positions, with the top 20 stocks accounting for 80% of the portfolio and the remaining 20% allocated to the bottom 20 stocks. However, this structure, with its diluted tail, undermines the claim of being a high conviction offering. Atchison recommends the manager eliminate the tail positions to reduce the research burden on the team and deliver a more focused, impactful portfolio. Additionally, the Fund's long-term track record is no longer relevant given the strategy changes, and its recent performance lags peers in the long-only Australian equities space.</w:t>
      </w:r>
    </w:p>
    <w:p w14:paraId="0A4705CE" w14:textId="77777777" w:rsidR="000B5092" w:rsidRDefault="000B5092" w:rsidP="000B5092">
      <w:pPr>
        <w:pStyle w:val="paragraph"/>
        <w:spacing w:before="0" w:beforeAutospacing="0" w:after="0" w:afterAutospacing="0"/>
        <w:textAlignment w:val="baseline"/>
        <w:rPr>
          <w:rStyle w:val="normaltextrun"/>
          <w:rFonts w:ascii="Segoe UI" w:hAnsi="Segoe UI" w:cs="Segoe UI"/>
          <w:color w:val="4A585E"/>
          <w:sz w:val="18"/>
          <w:szCs w:val="18"/>
        </w:rPr>
      </w:pPr>
    </w:p>
    <w:p w14:paraId="051A0C6C" w14:textId="29E88078" w:rsidR="00B718F2" w:rsidRPr="000B5092" w:rsidRDefault="000B5092" w:rsidP="000B5092">
      <w:pPr>
        <w:pStyle w:val="paragraph"/>
        <w:spacing w:before="0" w:beforeAutospacing="0" w:after="0" w:afterAutospacing="0"/>
        <w:textAlignment w:val="baseline"/>
        <w:rPr>
          <w:rStyle w:val="normaltextrun"/>
          <w:rFonts w:ascii="Segoe UI" w:hAnsi="Segoe UI" w:cs="Segoe UI"/>
          <w:color w:val="4A585E"/>
          <w:sz w:val="18"/>
          <w:szCs w:val="18"/>
        </w:rPr>
      </w:pPr>
      <w:r w:rsidRPr="000B5092">
        <w:rPr>
          <w:rStyle w:val="normaltextrun"/>
          <w:rFonts w:ascii="Arial" w:eastAsiaTheme="majorEastAsia" w:hAnsi="Arial" w:cs="Arial"/>
          <w:color w:val="64777E"/>
          <w:kern w:val="2"/>
          <w:sz w:val="18"/>
          <w:szCs w:val="18"/>
          <w:lang w:eastAsia="en-US"/>
          <w14:ligatures w14:val="standardContextual"/>
        </w:rPr>
        <w:t xml:space="preserve">Concerns also arise around the Fund's team and resources. With just two team members and competing responsibilities, including managing the newly launched Ex-20 Fund, the team appears under-resourced compared to peers. The process relies heavily on the team's industry experience and company contacts rather than a structured approach, raising further questions about scalability and consistency. Atchison no longer sees a compelling investment case for the Fund, as it fails to align with the requirements of the long/short bucket and </w:t>
      </w:r>
      <w:r>
        <w:rPr>
          <w:rStyle w:val="normaltextrun"/>
          <w:rFonts w:ascii="Arial" w:eastAsiaTheme="majorEastAsia" w:hAnsi="Arial" w:cs="Arial"/>
          <w:color w:val="64777E"/>
          <w:kern w:val="2"/>
          <w:sz w:val="18"/>
          <w:szCs w:val="18"/>
          <w:lang w:eastAsia="en-US"/>
          <w14:ligatures w14:val="standardContextual"/>
        </w:rPr>
        <w:t>has an outsized fee relative to t</w:t>
      </w:r>
      <w:r w:rsidRPr="000B5092">
        <w:rPr>
          <w:rStyle w:val="normaltextrun"/>
          <w:rFonts w:ascii="Arial" w:eastAsiaTheme="majorEastAsia" w:hAnsi="Arial" w:cs="Arial"/>
          <w:color w:val="64777E"/>
          <w:kern w:val="2"/>
          <w:sz w:val="18"/>
          <w:szCs w:val="18"/>
          <w:lang w:eastAsia="en-US"/>
          <w14:ligatures w14:val="standardContextual"/>
        </w:rPr>
        <w:t>he long-only peer group. A</w:t>
      </w:r>
      <w:r>
        <w:rPr>
          <w:rStyle w:val="normaltextrun"/>
          <w:rFonts w:ascii="Arial" w:eastAsiaTheme="majorEastAsia" w:hAnsi="Arial" w:cs="Arial"/>
          <w:color w:val="64777E"/>
          <w:kern w:val="2"/>
          <w:sz w:val="18"/>
          <w:szCs w:val="18"/>
          <w:lang w:eastAsia="en-US"/>
          <w14:ligatures w14:val="standardContextual"/>
        </w:rPr>
        <w:t>tchison believe a</w:t>
      </w:r>
      <w:r w:rsidRPr="000B5092">
        <w:rPr>
          <w:rStyle w:val="normaltextrun"/>
          <w:rFonts w:ascii="Arial" w:eastAsiaTheme="majorEastAsia" w:hAnsi="Arial" w:cs="Arial"/>
          <w:color w:val="64777E"/>
          <w:kern w:val="2"/>
          <w:sz w:val="18"/>
          <w:szCs w:val="18"/>
          <w:lang w:eastAsia="en-US"/>
          <w14:ligatures w14:val="standardContextual"/>
        </w:rPr>
        <w:t>lternative options in the Australian equity long/short space should be considered to better meet strategic objectives.</w:t>
      </w:r>
    </w:p>
    <w:p w14:paraId="38FCD5F7" w14:textId="535B4680"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64C63A4E" w14:textId="0AE97366" w:rsidR="00B718F2" w:rsidRPr="006249B6" w:rsidRDefault="00B718F2" w:rsidP="00B718F2">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23B7C098" w14:textId="6264F220"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w:t>
      </w:r>
      <w:r>
        <w:rPr>
          <w:rFonts w:ascii="Arial" w:eastAsia="Arial" w:hAnsi="Arial" w:cs="Minion Pro"/>
          <w:color w:val="64777E"/>
          <w:kern w:val="0"/>
          <w:sz w:val="18"/>
          <w:szCs w:val="18"/>
          <w:lang w:val="en-US"/>
          <w14:ligatures w14:val="none"/>
        </w:rPr>
        <w:t>Auscap</w:t>
      </w:r>
    </w:p>
    <w:p w14:paraId="5B643D2A" w14:textId="71906377" w:rsidR="00B718F2" w:rsidRPr="005D587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Pr>
          <w:rFonts w:ascii="Arial" w:eastAsia="Arial" w:hAnsi="Arial" w:cs="Minion Pro"/>
          <w:color w:val="64777E"/>
          <w:kern w:val="0"/>
          <w:sz w:val="18"/>
          <w:szCs w:val="18"/>
          <w14:ligatures w14:val="none"/>
        </w:rPr>
        <w:t>December 2012</w:t>
      </w:r>
      <w:r>
        <w:rPr>
          <w:rFonts w:ascii="Arial" w:eastAsia="Arial" w:hAnsi="Arial" w:cs="Minion Pro"/>
          <w:color w:val="64777E"/>
          <w:kern w:val="0"/>
          <w:sz w:val="18"/>
          <w:szCs w:val="18"/>
          <w14:ligatures w14:val="none"/>
        </w:rPr>
        <w:t xml:space="preserve"> </w:t>
      </w:r>
    </w:p>
    <w:p w14:paraId="2F8B6C12" w14:textId="25028283" w:rsidR="00B718F2" w:rsidRPr="002E6A36"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Pr>
          <w:rFonts w:ascii="Arial" w:eastAsia="Arial" w:hAnsi="Arial" w:cs="Minion Pro"/>
          <w:color w:val="64777E"/>
          <w:kern w:val="0"/>
          <w:sz w:val="18"/>
          <w:szCs w:val="18"/>
          <w14:ligatures w14:val="none"/>
        </w:rPr>
        <w:t>$</w:t>
      </w:r>
      <w:r>
        <w:rPr>
          <w:rFonts w:ascii="Arial" w:eastAsia="Arial" w:hAnsi="Arial" w:cs="Minion Pro"/>
          <w:color w:val="64777E"/>
          <w:kern w:val="0"/>
          <w:sz w:val="18"/>
          <w:szCs w:val="18"/>
          <w14:ligatures w14:val="none"/>
        </w:rPr>
        <w:t>375mn</w:t>
      </w:r>
      <w:r>
        <w:rPr>
          <w:rFonts w:ascii="Arial" w:eastAsia="Arial" w:hAnsi="Arial" w:cs="Minion Pro"/>
          <w:color w:val="64777E"/>
          <w:kern w:val="0"/>
          <w:sz w:val="18"/>
          <w:szCs w:val="18"/>
          <w14:ligatures w14:val="none"/>
        </w:rPr>
        <w:t xml:space="preserve"> (as at </w:t>
      </w:r>
      <w:r>
        <w:rPr>
          <w:rFonts w:ascii="Arial" w:eastAsia="Arial" w:hAnsi="Arial" w:cs="Minion Pro"/>
          <w:color w:val="64777E"/>
          <w:kern w:val="0"/>
          <w:sz w:val="18"/>
          <w:szCs w:val="18"/>
          <w14:ligatures w14:val="none"/>
        </w:rPr>
        <w:t>31/10</w:t>
      </w:r>
      <w:r>
        <w:rPr>
          <w:rFonts w:ascii="Arial" w:eastAsia="Arial" w:hAnsi="Arial" w:cs="Minion Pro"/>
          <w:color w:val="64777E"/>
          <w:kern w:val="0"/>
          <w:sz w:val="18"/>
          <w:szCs w:val="18"/>
          <w14:ligatures w14:val="none"/>
        </w:rPr>
        <w:t>/2024)</w:t>
      </w:r>
    </w:p>
    <w:p w14:paraId="12BDB307" w14:textId="29BD2C95" w:rsidR="00B718F2" w:rsidRPr="00901449" w:rsidRDefault="00B718F2" w:rsidP="00B718F2">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Auscap Long Short Australian Equities Fund </w:t>
      </w:r>
      <w:r>
        <w:rPr>
          <w:rFonts w:ascii="Arial" w:eastAsia="Arial" w:hAnsi="Arial" w:cs="Minion Pro"/>
          <w:color w:val="64777E"/>
          <w:kern w:val="0"/>
          <w:sz w:val="18"/>
          <w:szCs w:val="18"/>
          <w:lang w:val="en-US"/>
          <w14:ligatures w14:val="none"/>
        </w:rPr>
        <w:t>$</w:t>
      </w:r>
      <w:r>
        <w:rPr>
          <w:rFonts w:ascii="Arial" w:eastAsia="Arial" w:hAnsi="Arial" w:cs="Minion Pro"/>
          <w:color w:val="64777E"/>
          <w:kern w:val="0"/>
          <w:sz w:val="18"/>
          <w:szCs w:val="18"/>
          <w:lang w:val="en-US"/>
          <w14:ligatures w14:val="none"/>
        </w:rPr>
        <w:t>360mn</w:t>
      </w:r>
      <w:r>
        <w:rPr>
          <w:rFonts w:ascii="Arial" w:eastAsia="Arial" w:hAnsi="Arial" w:cs="Minion Pro"/>
          <w:color w:val="64777E"/>
          <w:kern w:val="0"/>
          <w:sz w:val="18"/>
          <w:szCs w:val="18"/>
          <w:lang w:val="en-US"/>
          <w14:ligatures w14:val="none"/>
        </w:rPr>
        <w:t xml:space="preserve">  </w:t>
      </w:r>
    </w:p>
    <w:p w14:paraId="1289C7C5" w14:textId="6F7A857E" w:rsidR="00B718F2" w:rsidRPr="006249B6"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Investment Strategy: </w:t>
      </w:r>
      <w:r w:rsidRPr="00B718F2">
        <w:rPr>
          <w:rFonts w:ascii="Arial" w:eastAsia="Arial" w:hAnsi="Arial" w:cs="Minion Pro"/>
          <w:color w:val="64777E"/>
          <w:kern w:val="0"/>
          <w:sz w:val="18"/>
          <w:szCs w:val="18"/>
          <w:lang w:val="en-US"/>
          <w14:ligatures w14:val="none"/>
        </w:rPr>
        <w:t xml:space="preserve">The </w:t>
      </w:r>
      <w:r w:rsidRPr="00B718F2">
        <w:rPr>
          <w:rFonts w:ascii="Arial" w:eastAsia="Arial" w:hAnsi="Arial" w:cs="Minion Pro"/>
          <w:color w:val="64777E"/>
          <w:kern w:val="0"/>
          <w:sz w:val="18"/>
          <w:szCs w:val="18"/>
          <w:lang w:val="en-US"/>
          <w14:ligatures w14:val="none"/>
        </w:rPr>
        <w:t xml:space="preserve">Manager is a quality biased focusing on buying high quality, growing businesses with a sensible valuation filter. The manager’s philosophy can </w:t>
      </w:r>
      <w:proofErr w:type="gramStart"/>
      <w:r w:rsidRPr="00B718F2">
        <w:rPr>
          <w:rFonts w:ascii="Arial" w:eastAsia="Arial" w:hAnsi="Arial" w:cs="Minion Pro"/>
          <w:color w:val="64777E"/>
          <w:kern w:val="0"/>
          <w:sz w:val="18"/>
          <w:szCs w:val="18"/>
          <w:lang w:val="en-US"/>
          <w14:ligatures w14:val="none"/>
        </w:rPr>
        <w:t>be best described</w:t>
      </w:r>
      <w:proofErr w:type="gramEnd"/>
      <w:r w:rsidRPr="00B718F2">
        <w:rPr>
          <w:rFonts w:ascii="Arial" w:eastAsia="Arial" w:hAnsi="Arial" w:cs="Minion Pro"/>
          <w:color w:val="64777E"/>
          <w:kern w:val="0"/>
          <w:sz w:val="18"/>
          <w:szCs w:val="18"/>
          <w:lang w:val="en-US"/>
          <w14:ligatures w14:val="none"/>
        </w:rPr>
        <w:t xml:space="preserve"> as quality at the right price (QARP).</w:t>
      </w:r>
    </w:p>
    <w:p w14:paraId="4AC19B32" w14:textId="4A601FA5" w:rsidR="00B718F2" w:rsidRPr="00F5232E" w:rsidRDefault="00B718F2" w:rsidP="00B718F2">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Pr>
          <w:rStyle w:val="normaltextrun"/>
          <w:rFonts w:ascii="Arial" w:eastAsia="Arial" w:hAnsi="Arial" w:cs="Minion Pro"/>
          <w:color w:val="64777E"/>
          <w:kern w:val="0"/>
          <w:sz w:val="18"/>
          <w:szCs w:val="18"/>
          <w:lang w:val="en-US"/>
          <w14:ligatures w14:val="none"/>
        </w:rPr>
        <w:t>All Ordinaries</w:t>
      </w:r>
      <w:r>
        <w:rPr>
          <w:rStyle w:val="normaltextrun"/>
          <w:rFonts w:ascii="Arial" w:eastAsia="Arial" w:hAnsi="Arial" w:cs="Minion Pro"/>
          <w:color w:val="64777E"/>
          <w:kern w:val="0"/>
          <w:sz w:val="18"/>
          <w:szCs w:val="18"/>
          <w:lang w:val="en-US"/>
          <w14:ligatures w14:val="none"/>
        </w:rPr>
        <w:t xml:space="preserve"> Accumulation Index</w:t>
      </w:r>
    </w:p>
    <w:p w14:paraId="006BA3B6" w14:textId="77777777"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C7428BA" w14:textId="77777777"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7D05B8E0" w14:textId="77777777" w:rsidR="000B5092" w:rsidRDefault="000B5092" w:rsidP="00B718F2">
      <w:pPr>
        <w:pStyle w:val="paragraph"/>
        <w:spacing w:before="0" w:beforeAutospacing="0" w:after="0" w:afterAutospacing="0"/>
        <w:textAlignment w:val="baseline"/>
        <w:rPr>
          <w:rFonts w:ascii="Arial" w:eastAsia="Arial" w:hAnsi="Arial" w:cs="Arial"/>
          <w:color w:val="64777E"/>
          <w:sz w:val="18"/>
          <w:szCs w:val="18"/>
          <w:lang w:val="en-US" w:eastAsia="en-US"/>
        </w:rPr>
      </w:pPr>
      <w:r w:rsidRPr="000B5092">
        <w:rPr>
          <w:rFonts w:ascii="Arial" w:eastAsia="Arial" w:hAnsi="Arial" w:cs="Arial"/>
          <w:color w:val="64777E"/>
          <w:sz w:val="18"/>
          <w:szCs w:val="18"/>
          <w:lang w:val="en-US" w:eastAsia="en-US"/>
        </w:rPr>
        <w:t xml:space="preserve">The firm </w:t>
      </w:r>
      <w:proofErr w:type="gramStart"/>
      <w:r w:rsidRPr="000B5092">
        <w:rPr>
          <w:rFonts w:ascii="Arial" w:eastAsia="Arial" w:hAnsi="Arial" w:cs="Arial"/>
          <w:color w:val="64777E"/>
          <w:sz w:val="18"/>
          <w:szCs w:val="18"/>
          <w:lang w:val="en-US" w:eastAsia="en-US"/>
        </w:rPr>
        <w:t>is owned</w:t>
      </w:r>
      <w:proofErr w:type="gramEnd"/>
      <w:r w:rsidRPr="000B5092">
        <w:rPr>
          <w:rFonts w:ascii="Arial" w:eastAsia="Arial" w:hAnsi="Arial" w:cs="Arial"/>
          <w:color w:val="64777E"/>
          <w:sz w:val="18"/>
          <w:szCs w:val="18"/>
          <w:lang w:val="en-US" w:eastAsia="en-US"/>
        </w:rPr>
        <w:t xml:space="preserve"> and operated by the team and manages $375mn exclusively sourced from retail investors. Auscap currently operates two strategies: the Auscap Long Short Australian Equites Fund and the recently launched Auscap Ex-20 Australian Equities Fund. In recent years, the firm has been trying to expand its product offering, though a previously launched global equities strategy has since </w:t>
      </w:r>
      <w:proofErr w:type="gramStart"/>
      <w:r w:rsidRPr="000B5092">
        <w:rPr>
          <w:rFonts w:ascii="Arial" w:eastAsia="Arial" w:hAnsi="Arial" w:cs="Arial"/>
          <w:color w:val="64777E"/>
          <w:sz w:val="18"/>
          <w:szCs w:val="18"/>
          <w:lang w:val="en-US" w:eastAsia="en-US"/>
        </w:rPr>
        <w:t>been closed</w:t>
      </w:r>
      <w:proofErr w:type="gramEnd"/>
      <w:r w:rsidRPr="000B5092">
        <w:rPr>
          <w:rFonts w:ascii="Arial" w:eastAsia="Arial" w:hAnsi="Arial" w:cs="Arial"/>
          <w:color w:val="64777E"/>
          <w:sz w:val="18"/>
          <w:szCs w:val="18"/>
          <w:lang w:val="en-US" w:eastAsia="en-US"/>
        </w:rPr>
        <w:t>. The launch of the Ex-20 Fund marks the latest effort in this expansion. A</w:t>
      </w:r>
      <w:r>
        <w:rPr>
          <w:rFonts w:ascii="Arial" w:eastAsia="Arial" w:hAnsi="Arial" w:cs="Arial"/>
          <w:color w:val="64777E"/>
          <w:sz w:val="18"/>
          <w:szCs w:val="18"/>
          <w:lang w:val="en-US" w:eastAsia="en-US"/>
        </w:rPr>
        <w:t xml:space="preserve">tchison </w:t>
      </w:r>
      <w:proofErr w:type="gramStart"/>
      <w:r>
        <w:rPr>
          <w:rFonts w:ascii="Arial" w:eastAsia="Arial" w:hAnsi="Arial" w:cs="Arial"/>
          <w:color w:val="64777E"/>
          <w:sz w:val="18"/>
          <w:szCs w:val="18"/>
          <w:lang w:val="en-US" w:eastAsia="en-US"/>
        </w:rPr>
        <w:t>have</w:t>
      </w:r>
      <w:proofErr w:type="gramEnd"/>
      <w:r>
        <w:rPr>
          <w:rFonts w:ascii="Arial" w:eastAsia="Arial" w:hAnsi="Arial" w:cs="Arial"/>
          <w:color w:val="64777E"/>
          <w:sz w:val="18"/>
          <w:szCs w:val="18"/>
          <w:lang w:val="en-US" w:eastAsia="en-US"/>
        </w:rPr>
        <w:t xml:space="preserve"> concerns around </w:t>
      </w:r>
      <w:r w:rsidRPr="000B5092">
        <w:rPr>
          <w:rFonts w:ascii="Arial" w:eastAsia="Arial" w:hAnsi="Arial" w:cs="Arial"/>
          <w:color w:val="64777E"/>
          <w:sz w:val="18"/>
          <w:szCs w:val="18"/>
          <w:lang w:val="en-US" w:eastAsia="en-US"/>
        </w:rPr>
        <w:t>whether Auscap can attract sustainable flows of FUM while maintaining focus on investment performance, given the firm’s current emphasis on growth.</w:t>
      </w:r>
    </w:p>
    <w:p w14:paraId="721A8D5C" w14:textId="77777777" w:rsidR="000B5092" w:rsidRDefault="00B718F2" w:rsidP="000B509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lastRenderedPageBreak/>
        <w:t>Team</w:t>
      </w:r>
    </w:p>
    <w:p w14:paraId="75AAD827" w14:textId="77777777" w:rsidR="000B5092" w:rsidRDefault="000B5092" w:rsidP="000B5092">
      <w:pPr>
        <w:pStyle w:val="paragraph"/>
        <w:spacing w:before="0" w:beforeAutospacing="0" w:after="0" w:afterAutospacing="0"/>
        <w:textAlignment w:val="baseline"/>
        <w:rPr>
          <w:rStyle w:val="normaltextrun"/>
          <w:rFonts w:ascii="Segoe UI" w:hAnsi="Segoe UI" w:cs="Segoe UI"/>
          <w:color w:val="4A585E"/>
          <w:sz w:val="18"/>
          <w:szCs w:val="18"/>
        </w:rPr>
      </w:pPr>
      <w:r w:rsidRPr="000B5092">
        <w:rPr>
          <w:rStyle w:val="normaltextrun"/>
          <w:rFonts w:ascii="Arial" w:eastAsiaTheme="majorEastAsia" w:hAnsi="Arial" w:cs="Arial"/>
          <w:color w:val="64777E"/>
          <w:sz w:val="18"/>
          <w:szCs w:val="18"/>
        </w:rPr>
        <w:t>The team is led by Portfolio Manager Tim Carleton who founded the business in 2012. Carleton is highly experienced and was previously an executive director at Goldman Sachs where he was responsible for managing an Australian equities portfolio. Providing support is Deputy Portfolio Manager, Will Mumford. Mumford joined in 2018 with an investment banking background, he is assessed as capable, however, still developing at the portfolio manager level. Gavin Rogers is also listed as part of the team, although his role is “investment specialist” and it is believed he is more involved in distribution and is not involved in the research and portfolio construction process.</w:t>
      </w:r>
    </w:p>
    <w:p w14:paraId="691DC427" w14:textId="77777777" w:rsidR="000B5092" w:rsidRDefault="000B5092" w:rsidP="000B5092">
      <w:pPr>
        <w:pStyle w:val="paragraph"/>
        <w:spacing w:before="0" w:beforeAutospacing="0" w:after="0" w:afterAutospacing="0"/>
        <w:textAlignment w:val="baseline"/>
        <w:rPr>
          <w:rStyle w:val="normaltextrun"/>
          <w:rFonts w:ascii="Segoe UI" w:hAnsi="Segoe UI" w:cs="Segoe UI"/>
          <w:color w:val="4A585E"/>
          <w:sz w:val="18"/>
          <w:szCs w:val="18"/>
        </w:rPr>
      </w:pPr>
    </w:p>
    <w:p w14:paraId="3773CA36" w14:textId="36334D00" w:rsidR="00B718F2" w:rsidRPr="000B5092" w:rsidRDefault="000B5092" w:rsidP="000B5092">
      <w:pPr>
        <w:pStyle w:val="paragraph"/>
        <w:spacing w:before="0" w:beforeAutospacing="0" w:after="0" w:afterAutospacing="0"/>
        <w:textAlignment w:val="baseline"/>
        <w:rPr>
          <w:rStyle w:val="normaltextrun"/>
          <w:rFonts w:ascii="Segoe UI" w:hAnsi="Segoe UI" w:cs="Segoe UI"/>
          <w:color w:val="4A585E"/>
          <w:sz w:val="18"/>
          <w:szCs w:val="18"/>
        </w:rPr>
      </w:pPr>
      <w:r w:rsidRPr="000B5092">
        <w:rPr>
          <w:rStyle w:val="normaltextrun"/>
          <w:rFonts w:ascii="Arial" w:eastAsiaTheme="majorEastAsia" w:hAnsi="Arial" w:cs="Arial"/>
          <w:color w:val="64777E"/>
          <w:sz w:val="18"/>
          <w:szCs w:val="18"/>
        </w:rPr>
        <w:t>Team of two is considered small and under resourced given the additional competing focus on the recently launched Ex-20 Fund. Co-tenure is also lower than peers. Additional resourcing would be viewed positively and help alleviate concerns around workload and competing responsibilities.</w:t>
      </w:r>
    </w:p>
    <w:p w14:paraId="7021569A" w14:textId="77777777" w:rsidR="00B718F2" w:rsidRPr="00081220" w:rsidRDefault="00B718F2" w:rsidP="00B718F2">
      <w:pPr>
        <w:pStyle w:val="paragraph"/>
        <w:spacing w:before="0" w:beforeAutospacing="0" w:after="0" w:afterAutospacing="0"/>
        <w:textAlignment w:val="baseline"/>
        <w:rPr>
          <w:rStyle w:val="normaltextrun"/>
          <w:rFonts w:ascii="Arial" w:eastAsiaTheme="majorEastAsia" w:hAnsi="Arial"/>
          <w:color w:val="76C204"/>
          <w:sz w:val="28"/>
        </w:rPr>
      </w:pPr>
    </w:p>
    <w:p w14:paraId="4A043BBE" w14:textId="77777777"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Process</w:t>
      </w:r>
    </w:p>
    <w:p w14:paraId="7647F95F" w14:textId="30FB1654" w:rsidR="000B5092" w:rsidRPr="000B5092" w:rsidRDefault="000B5092" w:rsidP="000B5092">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0B5092">
        <w:rPr>
          <w:rStyle w:val="normaltextrun"/>
          <w:rFonts w:ascii="Arial" w:eastAsiaTheme="majorEastAsia" w:hAnsi="Arial" w:cs="Arial"/>
          <w:color w:val="64777E"/>
          <w:kern w:val="0"/>
          <w:sz w:val="18"/>
          <w:szCs w:val="18"/>
          <w:lang w:eastAsia="en-AU"/>
          <w14:ligatures w14:val="none"/>
        </w:rPr>
        <w:t>The Auscap High Conviction Fund seeks investment ideas from Australian listed equities, primarily focusing on larger-cap stocks. While the ex-20 strategy is benchmark-aware, the long-only strategy remains benchmark-unaware. The Manager adheres to a quality-at-the-right-price (QARP) philosophy, prioriti</w:t>
      </w:r>
      <w:r w:rsidR="00FC1FB0">
        <w:rPr>
          <w:rStyle w:val="normaltextrun"/>
          <w:rFonts w:ascii="Arial" w:eastAsiaTheme="majorEastAsia" w:hAnsi="Arial" w:cs="Arial"/>
          <w:color w:val="64777E"/>
          <w:kern w:val="0"/>
          <w:sz w:val="18"/>
          <w:szCs w:val="18"/>
          <w:lang w:eastAsia="en-AU"/>
          <w14:ligatures w14:val="none"/>
        </w:rPr>
        <w:t>s</w:t>
      </w:r>
      <w:r w:rsidRPr="000B5092">
        <w:rPr>
          <w:rStyle w:val="normaltextrun"/>
          <w:rFonts w:ascii="Arial" w:eastAsiaTheme="majorEastAsia" w:hAnsi="Arial" w:cs="Arial"/>
          <w:color w:val="64777E"/>
          <w:kern w:val="0"/>
          <w:sz w:val="18"/>
          <w:szCs w:val="18"/>
          <w:lang w:eastAsia="en-AU"/>
          <w14:ligatures w14:val="none"/>
        </w:rPr>
        <w:t>ing high-quality, growing businesses with sensible valuations. Idea generation involves quantitative screening, extensive travel, and leveraging Carleton’s market experience. The research process emphasi</w:t>
      </w:r>
      <w:r w:rsidR="00FC1FB0">
        <w:rPr>
          <w:rStyle w:val="normaltextrun"/>
          <w:rFonts w:ascii="Arial" w:eastAsiaTheme="majorEastAsia" w:hAnsi="Arial" w:cs="Arial"/>
          <w:color w:val="64777E"/>
          <w:kern w:val="0"/>
          <w:sz w:val="18"/>
          <w:szCs w:val="18"/>
          <w:lang w:eastAsia="en-AU"/>
          <w14:ligatures w14:val="none"/>
        </w:rPr>
        <w:t>s</w:t>
      </w:r>
      <w:r w:rsidRPr="000B5092">
        <w:rPr>
          <w:rStyle w:val="normaltextrun"/>
          <w:rFonts w:ascii="Arial" w:eastAsiaTheme="majorEastAsia" w:hAnsi="Arial" w:cs="Arial"/>
          <w:color w:val="64777E"/>
          <w:kern w:val="0"/>
          <w:sz w:val="18"/>
          <w:szCs w:val="18"/>
          <w:lang w:eastAsia="en-AU"/>
          <w14:ligatures w14:val="none"/>
        </w:rPr>
        <w:t>es competitive advantages, ROIC, and cash flow, supported by in-depth valuation analysis. However, some reliance on sell-side research exists, and the process is viewed as less structured than peers.</w:t>
      </w:r>
    </w:p>
    <w:p w14:paraId="74CD1E63" w14:textId="4236A101" w:rsidR="00B718F2" w:rsidRDefault="000B5092" w:rsidP="000B5092">
      <w:pPr>
        <w:autoSpaceDE w:val="0"/>
        <w:autoSpaceDN w:val="0"/>
        <w:adjustRightInd w:val="0"/>
        <w:spacing w:after="100" w:line="276" w:lineRule="auto"/>
        <w:textAlignment w:val="center"/>
        <w:rPr>
          <w:rStyle w:val="normaltextrun"/>
          <w:rFonts w:ascii="Arial" w:eastAsiaTheme="majorEastAsia" w:hAnsi="Arial" w:cs="Arial"/>
          <w:color w:val="64777E"/>
          <w:kern w:val="0"/>
          <w:sz w:val="18"/>
          <w:szCs w:val="18"/>
          <w:lang w:eastAsia="en-AU"/>
          <w14:ligatures w14:val="none"/>
        </w:rPr>
      </w:pPr>
      <w:r w:rsidRPr="000B5092">
        <w:rPr>
          <w:rStyle w:val="normaltextrun"/>
          <w:rFonts w:ascii="Arial" w:eastAsiaTheme="majorEastAsia" w:hAnsi="Arial" w:cs="Arial"/>
          <w:color w:val="64777E"/>
          <w:kern w:val="0"/>
          <w:sz w:val="18"/>
          <w:szCs w:val="18"/>
          <w:lang w:eastAsia="en-AU"/>
          <w14:ligatures w14:val="none"/>
        </w:rPr>
        <w:t>Following the removal of the short book, the portfolio now consists of 40 long positions, with 80% of the weight concentrated in the top 20 stocks and the remaining 20% allocated to a diluted tail of 20 stocks. This structure undermines the claim of being truly high conviction. Atchison recommends eliminating the tail to reduce the research burden and enhance portfolio focus. The current team size and competing responsibilities further highlight the need for a more streamlined and impactful approach.</w:t>
      </w:r>
    </w:p>
    <w:p w14:paraId="0A70CEF6" w14:textId="77777777" w:rsidR="000B5092" w:rsidRDefault="000B5092" w:rsidP="000B5092">
      <w:pPr>
        <w:autoSpaceDE w:val="0"/>
        <w:autoSpaceDN w:val="0"/>
        <w:adjustRightInd w:val="0"/>
        <w:spacing w:after="100" w:line="276" w:lineRule="auto"/>
        <w:textAlignment w:val="center"/>
        <w:rPr>
          <w:rFonts w:ascii="Arial" w:eastAsia="Arial" w:hAnsi="Arial" w:cs="Minion Pro"/>
          <w:color w:val="64777E"/>
          <w:kern w:val="0"/>
          <w:sz w:val="18"/>
          <w:szCs w:val="18"/>
          <w14:ligatures w14:val="none"/>
        </w:rPr>
      </w:pPr>
    </w:p>
    <w:p w14:paraId="7C13C528" w14:textId="77777777" w:rsidR="00B718F2" w:rsidRDefault="00B718F2" w:rsidP="00B718F2">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1D7F7FDA" w14:textId="5523E682"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w:t>
      </w:r>
      <w:r w:rsidR="00FC1FB0">
        <w:rPr>
          <w:rFonts w:ascii="Arial" w:eastAsia="Arial" w:hAnsi="Arial" w:cs="Minion Pro"/>
          <w:color w:val="64777E"/>
          <w:kern w:val="0"/>
          <w:sz w:val="18"/>
          <w:szCs w:val="18"/>
          <w:lang w:val="en-US"/>
          <w14:ligatures w14:val="none"/>
        </w:rPr>
        <w:t>1.69</w:t>
      </w:r>
      <w:r>
        <w:rPr>
          <w:rFonts w:ascii="Arial" w:eastAsia="Arial" w:hAnsi="Arial" w:cs="Minion Pro"/>
          <w:color w:val="64777E"/>
          <w:kern w:val="0"/>
          <w:sz w:val="18"/>
          <w:szCs w:val="18"/>
          <w:lang w:val="en-US"/>
          <w14:ligatures w14:val="none"/>
        </w:rPr>
        <w:t>% p.a.</w:t>
      </w:r>
    </w:p>
    <w:p w14:paraId="3F588C76" w14:textId="4A5133BE" w:rsidR="00B718F2" w:rsidRPr="00F5232E"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15</w:t>
      </w:r>
      <w:r w:rsidR="00FC1FB0">
        <w:rPr>
          <w:rFonts w:ascii="Arial" w:eastAsia="Arial" w:hAnsi="Arial" w:cs="Minion Pro"/>
          <w:color w:val="64777E"/>
          <w:kern w:val="0"/>
          <w:sz w:val="18"/>
          <w:szCs w:val="18"/>
          <w:lang w:val="en-US"/>
          <w14:ligatures w14:val="none"/>
        </w:rPr>
        <w:t>.375</w:t>
      </w:r>
      <w:r>
        <w:rPr>
          <w:rFonts w:ascii="Arial" w:eastAsia="Arial" w:hAnsi="Arial" w:cs="Minion Pro"/>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above </w:t>
      </w:r>
      <w:r>
        <w:rPr>
          <w:rFonts w:ascii="Arial" w:eastAsia="Arial" w:hAnsi="Arial" w:cs="Minion Pro"/>
          <w:color w:val="64777E"/>
          <w:kern w:val="0"/>
          <w:sz w:val="18"/>
          <w:szCs w:val="18"/>
          <w:lang w:val="en-US"/>
          <w14:ligatures w14:val="none"/>
        </w:rPr>
        <w:t>the Benchmark. This includes a high-water mark</w:t>
      </w:r>
      <w:r>
        <w:rPr>
          <w:rFonts w:ascii="Arial" w:eastAsia="Arial" w:hAnsi="Arial" w:cs="Minion Pro"/>
          <w:color w:val="64777E"/>
          <w:kern w:val="0"/>
          <w:sz w:val="18"/>
          <w:szCs w:val="18"/>
          <w:lang w:val="en-US"/>
          <w14:ligatures w14:val="none"/>
        </w:rPr>
        <w:t xml:space="preserve"> with </w:t>
      </w:r>
      <w:r>
        <w:rPr>
          <w:rFonts w:ascii="Arial" w:eastAsia="Arial" w:hAnsi="Arial" w:cs="Minion Pro"/>
          <w:color w:val="64777E"/>
          <w:kern w:val="0"/>
          <w:sz w:val="18"/>
          <w:szCs w:val="18"/>
          <w:lang w:val="en-US"/>
          <w14:ligatures w14:val="none"/>
        </w:rPr>
        <w:t>no re-set period.</w:t>
      </w:r>
    </w:p>
    <w:p w14:paraId="43116289" w14:textId="77777777"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Daily applications and redemptions. </w:t>
      </w:r>
    </w:p>
    <w:p w14:paraId="0CFDE92E" w14:textId="764BB35E"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Capacity: </w:t>
      </w:r>
      <w:r>
        <w:rPr>
          <w:rFonts w:ascii="Arial" w:eastAsia="Arial" w:hAnsi="Arial" w:cs="Minion Pro"/>
          <w:color w:val="64777E"/>
          <w:kern w:val="0"/>
          <w:sz w:val="18"/>
          <w:szCs w:val="18"/>
          <w:lang w:val="en-US"/>
          <w14:ligatures w14:val="none"/>
        </w:rPr>
        <w:t xml:space="preserve">The Fund invests </w:t>
      </w:r>
      <w:proofErr w:type="gramStart"/>
      <w:r>
        <w:rPr>
          <w:rFonts w:ascii="Arial" w:eastAsia="Arial" w:hAnsi="Arial" w:cs="Minion Pro"/>
          <w:color w:val="64777E"/>
          <w:kern w:val="0"/>
          <w:sz w:val="18"/>
          <w:szCs w:val="18"/>
          <w:lang w:val="en-US"/>
          <w14:ligatures w14:val="none"/>
        </w:rPr>
        <w:t>across</w:t>
      </w:r>
      <w:proofErr w:type="gramEnd"/>
      <w:r>
        <w:rPr>
          <w:rFonts w:ascii="Arial" w:eastAsia="Arial" w:hAnsi="Arial" w:cs="Minion Pro"/>
          <w:color w:val="64777E"/>
          <w:kern w:val="0"/>
          <w:sz w:val="18"/>
          <w:szCs w:val="18"/>
          <w:lang w:val="en-US"/>
          <w14:ligatures w14:val="none"/>
        </w:rPr>
        <w:t xml:space="preserve"> the ASX </w:t>
      </w:r>
      <w:r>
        <w:rPr>
          <w:rFonts w:ascii="Arial" w:eastAsia="Arial" w:hAnsi="Arial" w:cs="Minion Pro"/>
          <w:color w:val="64777E"/>
          <w:kern w:val="0"/>
          <w:sz w:val="18"/>
          <w:szCs w:val="18"/>
          <w:lang w:val="en-US"/>
          <w14:ligatures w14:val="none"/>
        </w:rPr>
        <w:t>300</w:t>
      </w:r>
      <w:r w:rsidR="00422DFF">
        <w:rPr>
          <w:rFonts w:ascii="Arial" w:eastAsia="Arial" w:hAnsi="Arial" w:cs="Minion Pro"/>
          <w:color w:val="64777E"/>
          <w:kern w:val="0"/>
          <w:sz w:val="18"/>
          <w:szCs w:val="18"/>
          <w:lang w:val="en-US"/>
          <w14:ligatures w14:val="none"/>
        </w:rPr>
        <w:t xml:space="preserve"> and</w:t>
      </w:r>
      <w:r>
        <w:rPr>
          <w:rFonts w:ascii="Arial" w:eastAsia="Arial" w:hAnsi="Arial" w:cs="Minion Pro"/>
          <w:color w:val="64777E"/>
          <w:kern w:val="0"/>
          <w:sz w:val="18"/>
          <w:szCs w:val="18"/>
          <w:lang w:val="en-US"/>
          <w14:ligatures w14:val="none"/>
        </w:rPr>
        <w:t xml:space="preserve"> </w:t>
      </w:r>
      <w:proofErr w:type="gramStart"/>
      <w:r>
        <w:rPr>
          <w:rFonts w:ascii="Arial" w:eastAsia="Arial" w:hAnsi="Arial" w:cs="Minion Pro"/>
          <w:color w:val="64777E"/>
          <w:kern w:val="0"/>
          <w:sz w:val="18"/>
          <w:szCs w:val="18"/>
          <w:lang w:val="en-US"/>
          <w14:ligatures w14:val="none"/>
        </w:rPr>
        <w:t>is expected</w:t>
      </w:r>
      <w:proofErr w:type="gramEnd"/>
      <w:r>
        <w:rPr>
          <w:rFonts w:ascii="Arial" w:eastAsia="Arial" w:hAnsi="Arial" w:cs="Minion Pro"/>
          <w:color w:val="64777E"/>
          <w:kern w:val="0"/>
          <w:sz w:val="18"/>
          <w:szCs w:val="18"/>
          <w:lang w:val="en-US"/>
          <w14:ligatures w14:val="none"/>
        </w:rPr>
        <w:t xml:space="preserve"> to remain </w:t>
      </w:r>
      <w:r w:rsidR="00422DFF">
        <w:rPr>
          <w:rFonts w:ascii="Arial" w:eastAsia="Arial" w:hAnsi="Arial" w:cs="Minion Pro"/>
          <w:color w:val="64777E"/>
          <w:kern w:val="0"/>
          <w:sz w:val="18"/>
          <w:szCs w:val="18"/>
          <w:lang w:val="en-US"/>
          <w14:ligatures w14:val="none"/>
        </w:rPr>
        <w:t>in</w:t>
      </w:r>
      <w:r>
        <w:rPr>
          <w:rFonts w:ascii="Arial" w:eastAsia="Arial" w:hAnsi="Arial" w:cs="Minion Pro"/>
          <w:color w:val="64777E"/>
          <w:kern w:val="0"/>
          <w:sz w:val="18"/>
          <w:szCs w:val="18"/>
          <w:lang w:val="en-US"/>
          <w14:ligatures w14:val="none"/>
        </w:rPr>
        <w:t xml:space="preserve"> the </w:t>
      </w:r>
      <w:r w:rsidR="00422DFF">
        <w:rPr>
          <w:rFonts w:ascii="Arial" w:eastAsia="Arial" w:hAnsi="Arial" w:cs="Minion Pro"/>
          <w:color w:val="64777E"/>
          <w:kern w:val="0"/>
          <w:sz w:val="18"/>
          <w:szCs w:val="18"/>
          <w:lang w:val="en-US"/>
          <w14:ligatures w14:val="none"/>
        </w:rPr>
        <w:t>mid</w:t>
      </w:r>
      <w:r w:rsidR="00422DFF">
        <w:rPr>
          <w:rFonts w:ascii="Arial" w:eastAsia="Arial" w:hAnsi="Arial" w:cs="Minion Pro"/>
          <w:color w:val="64777E"/>
          <w:kern w:val="0"/>
          <w:sz w:val="18"/>
          <w:szCs w:val="18"/>
          <w:lang w:val="en-US"/>
          <w14:ligatures w14:val="none"/>
        </w:rPr>
        <w:t>-cap region</w:t>
      </w:r>
      <w:r>
        <w:rPr>
          <w:rFonts w:ascii="Arial" w:eastAsia="Arial" w:hAnsi="Arial" w:cs="Minion Pro"/>
          <w:color w:val="64777E"/>
          <w:kern w:val="0"/>
          <w:sz w:val="18"/>
          <w:szCs w:val="18"/>
          <w:lang w:val="en-US"/>
          <w14:ligatures w14:val="none"/>
        </w:rPr>
        <w:t xml:space="preserve"> of the market. </w:t>
      </w:r>
      <w:r w:rsidR="00422DFF">
        <w:rPr>
          <w:rFonts w:ascii="Arial" w:eastAsia="Arial" w:hAnsi="Arial" w:cs="Minion Pro"/>
          <w:color w:val="64777E"/>
          <w:kern w:val="0"/>
          <w:sz w:val="18"/>
          <w:szCs w:val="18"/>
          <w:lang w:val="en-US"/>
          <w14:ligatures w14:val="none"/>
        </w:rPr>
        <w:t>C</w:t>
      </w:r>
      <w:r>
        <w:rPr>
          <w:rFonts w:ascii="Arial" w:eastAsia="Arial" w:hAnsi="Arial" w:cs="Minion Pro"/>
          <w:color w:val="64777E"/>
          <w:kern w:val="0"/>
          <w:sz w:val="18"/>
          <w:szCs w:val="18"/>
          <w:lang w:val="en-US"/>
          <w14:ligatures w14:val="none"/>
        </w:rPr>
        <w:t>apacity is not a concern at current levels.</w:t>
      </w:r>
    </w:p>
    <w:p w14:paraId="03E74129" w14:textId="512D0586"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Minimum Investment:</w:t>
      </w:r>
      <w:r>
        <w:rPr>
          <w:rFonts w:ascii="Arial" w:eastAsia="Arial" w:hAnsi="Arial" w:cs="Minion Pro"/>
          <w:sz w:val="18"/>
          <w:szCs w:val="18"/>
          <w:lang w:val="en-US"/>
        </w:rPr>
        <w:t xml:space="preserve"> </w:t>
      </w:r>
      <w:r>
        <w:rPr>
          <w:rFonts w:ascii="Arial" w:eastAsia="Arial" w:hAnsi="Arial" w:cs="Minion Pro"/>
          <w:color w:val="64777E"/>
          <w:kern w:val="0"/>
          <w:sz w:val="18"/>
          <w:szCs w:val="18"/>
          <w:lang w:val="en-US"/>
          <w14:ligatures w14:val="none"/>
        </w:rPr>
        <w:t>$</w:t>
      </w:r>
      <w:r w:rsidR="00422DFF">
        <w:rPr>
          <w:rFonts w:ascii="Arial" w:eastAsia="Arial" w:hAnsi="Arial" w:cs="Minion Pro"/>
          <w:color w:val="64777E"/>
          <w:kern w:val="0"/>
          <w:sz w:val="18"/>
          <w:szCs w:val="18"/>
          <w:lang w:val="en-US"/>
          <w14:ligatures w14:val="none"/>
        </w:rPr>
        <w:t>10</w:t>
      </w:r>
      <w:r w:rsidR="00422DFF">
        <w:rPr>
          <w:rFonts w:ascii="Arial" w:eastAsia="Arial" w:hAnsi="Arial" w:cs="Minion Pro"/>
          <w:color w:val="64777E"/>
          <w:kern w:val="0"/>
          <w:sz w:val="18"/>
          <w:szCs w:val="18"/>
          <w:lang w:val="en-US"/>
          <w14:ligatures w14:val="none"/>
        </w:rPr>
        <w:t>,000</w:t>
      </w:r>
    </w:p>
    <w:p w14:paraId="59BB8541" w14:textId="4739C091" w:rsidR="00B718F2" w:rsidRDefault="00B718F2" w:rsidP="00B718F2">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Responsible Entity: </w:t>
      </w:r>
      <w:r w:rsidR="00422DFF">
        <w:rPr>
          <w:rFonts w:ascii="Arial" w:eastAsia="Arial" w:hAnsi="Arial" w:cs="Minion Pro"/>
          <w:color w:val="64777E"/>
          <w:kern w:val="0"/>
          <w:sz w:val="18"/>
          <w:szCs w:val="18"/>
          <w:lang w:val="en-US"/>
          <w14:ligatures w14:val="none"/>
        </w:rPr>
        <w:t>Auscap (related party)</w:t>
      </w:r>
    </w:p>
    <w:p w14:paraId="09F3F3C5" w14:textId="77777777" w:rsidR="00B718F2" w:rsidRPr="00E716A4" w:rsidRDefault="00B718F2" w:rsidP="00B718F2">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EDB8848" w14:textId="04E36616" w:rsidR="00B718F2" w:rsidRDefault="00B718F2" w:rsidP="00B718F2">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w:t>
      </w:r>
      <w:r w:rsidR="004D77E8">
        <w:rPr>
          <w:rStyle w:val="normaltextrun"/>
          <w:rFonts w:ascii="Arial" w:eastAsiaTheme="majorEastAsia" w:hAnsi="Arial" w:cs="Arial"/>
          <w:color w:val="76C204"/>
          <w:sz w:val="28"/>
          <w:szCs w:val="28"/>
        </w:rPr>
        <w:t xml:space="preserve"> – 31/12/24</w:t>
      </w:r>
    </w:p>
    <w:p w14:paraId="77082970" w14:textId="28E08C6A" w:rsidR="00B718F2" w:rsidRDefault="004D77E8" w:rsidP="00B718F2">
      <w:pPr>
        <w:spacing w:after="120" w:line="276" w:lineRule="auto"/>
        <w:rPr>
          <w:rFonts w:ascii="Arial" w:eastAsia="Arial" w:hAnsi="Arial" w:cs="Century Gothic Pro"/>
          <w:color w:val="64777E"/>
          <w:kern w:val="0"/>
          <w:sz w:val="18"/>
          <w:szCs w:val="18"/>
          <w14:ligatures w14:val="none"/>
        </w:rPr>
      </w:pPr>
      <w:r w:rsidRPr="004D77E8">
        <w:rPr>
          <w:rFonts w:ascii="Arial" w:eastAsia="Arial" w:hAnsi="Arial" w:cs="Century Gothic Pro"/>
          <w:noProof/>
          <w:color w:val="64777E"/>
          <w:kern w:val="0"/>
          <w:sz w:val="18"/>
          <w:szCs w:val="18"/>
          <w14:ligatures w14:val="none"/>
        </w:rPr>
        <w:drawing>
          <wp:inline distT="0" distB="0" distL="0" distR="0" wp14:anchorId="6611650B" wp14:editId="5FFFE050">
            <wp:extent cx="5731510" cy="974090"/>
            <wp:effectExtent l="0" t="0" r="2540" b="0"/>
            <wp:docPr id="298501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01144" name="Picture 1" descr="A screenshot of a computer&#10;&#10;Description automatically generated"/>
                    <pic:cNvPicPr/>
                  </pic:nvPicPr>
                  <pic:blipFill>
                    <a:blip r:embed="rId9"/>
                    <a:stretch>
                      <a:fillRect/>
                    </a:stretch>
                  </pic:blipFill>
                  <pic:spPr>
                    <a:xfrm>
                      <a:off x="0" y="0"/>
                      <a:ext cx="5731510" cy="974090"/>
                    </a:xfrm>
                    <a:prstGeom prst="rect">
                      <a:avLst/>
                    </a:prstGeom>
                  </pic:spPr>
                </pic:pic>
              </a:graphicData>
            </a:graphic>
          </wp:inline>
        </w:drawing>
      </w:r>
    </w:p>
    <w:p w14:paraId="3E324342" w14:textId="3400B114" w:rsidR="00183A58" w:rsidRPr="00B718F2" w:rsidRDefault="004D77E8" w:rsidP="00B718F2">
      <w:pPr>
        <w:spacing w:after="120" w:line="276" w:lineRule="auto"/>
        <w:rPr>
          <w:rFonts w:ascii="Arial" w:eastAsia="Arial" w:hAnsi="Arial" w:cs="Century Gothic Pro"/>
          <w:color w:val="64777E"/>
          <w:kern w:val="0"/>
          <w:sz w:val="18"/>
          <w:szCs w:val="18"/>
          <w14:ligatures w14:val="none"/>
        </w:rPr>
      </w:pPr>
      <w:r w:rsidRPr="004D77E8">
        <w:rPr>
          <w:rFonts w:ascii="Arial" w:eastAsia="Arial" w:hAnsi="Arial" w:cs="Century Gothic Pro"/>
          <w:color w:val="64777E"/>
          <w:kern w:val="0"/>
          <w:sz w:val="18"/>
          <w:szCs w:val="18"/>
          <w14:ligatures w14:val="none"/>
        </w:rPr>
        <w:t>The Fund has underperformed over the past year. Due to recent changes in strategy, including the removal of the short book, its long-term track record is no longer relevant. The absence of leverage and reduced flexibility in long exposure means the Fund's strategy no longer aligns with what Atchison seeks in the long/short bucket. Consequently, it should now be compared to long-only Australian equity managers, where it has also underperformed its peers over the past year.</w:t>
      </w:r>
    </w:p>
    <w:sectPr w:rsidR="00183A58" w:rsidRPr="00B71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entury Gothic Pro">
    <w:altName w:val="Calibri"/>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B718F2"/>
    <w:rsid w:val="0001388D"/>
    <w:rsid w:val="00065BB5"/>
    <w:rsid w:val="00080E75"/>
    <w:rsid w:val="00081220"/>
    <w:rsid w:val="00083A9C"/>
    <w:rsid w:val="000A7203"/>
    <w:rsid w:val="000B5092"/>
    <w:rsid w:val="000C7CAD"/>
    <w:rsid w:val="001502D5"/>
    <w:rsid w:val="00183A58"/>
    <w:rsid w:val="001A0B21"/>
    <w:rsid w:val="001A199D"/>
    <w:rsid w:val="001F0464"/>
    <w:rsid w:val="001F59B4"/>
    <w:rsid w:val="00200B36"/>
    <w:rsid w:val="002117EE"/>
    <w:rsid w:val="00257F78"/>
    <w:rsid w:val="00271640"/>
    <w:rsid w:val="00277623"/>
    <w:rsid w:val="002F69CC"/>
    <w:rsid w:val="00317526"/>
    <w:rsid w:val="00317C0A"/>
    <w:rsid w:val="00323A8E"/>
    <w:rsid w:val="00340B7F"/>
    <w:rsid w:val="00373D81"/>
    <w:rsid w:val="00391B6C"/>
    <w:rsid w:val="003D0C5E"/>
    <w:rsid w:val="003D44F3"/>
    <w:rsid w:val="003F301E"/>
    <w:rsid w:val="00422DFF"/>
    <w:rsid w:val="0046106A"/>
    <w:rsid w:val="004617FB"/>
    <w:rsid w:val="00466317"/>
    <w:rsid w:val="00473849"/>
    <w:rsid w:val="0048053A"/>
    <w:rsid w:val="0048791A"/>
    <w:rsid w:val="004D77E8"/>
    <w:rsid w:val="00537AF8"/>
    <w:rsid w:val="00550BA8"/>
    <w:rsid w:val="00553CD9"/>
    <w:rsid w:val="00560C6C"/>
    <w:rsid w:val="0056681D"/>
    <w:rsid w:val="005709A2"/>
    <w:rsid w:val="005B079F"/>
    <w:rsid w:val="006064B0"/>
    <w:rsid w:val="00615D5D"/>
    <w:rsid w:val="006300FE"/>
    <w:rsid w:val="00645FDA"/>
    <w:rsid w:val="006821EB"/>
    <w:rsid w:val="00682AC9"/>
    <w:rsid w:val="006A2E4E"/>
    <w:rsid w:val="006B7FC6"/>
    <w:rsid w:val="006D5C62"/>
    <w:rsid w:val="006F6157"/>
    <w:rsid w:val="007419F1"/>
    <w:rsid w:val="00753AEF"/>
    <w:rsid w:val="00785EF8"/>
    <w:rsid w:val="007967CC"/>
    <w:rsid w:val="007A419D"/>
    <w:rsid w:val="007A5D46"/>
    <w:rsid w:val="007D196F"/>
    <w:rsid w:val="007F4443"/>
    <w:rsid w:val="008607B4"/>
    <w:rsid w:val="0086156B"/>
    <w:rsid w:val="00873BC0"/>
    <w:rsid w:val="00991A00"/>
    <w:rsid w:val="00A02AFA"/>
    <w:rsid w:val="00A02C67"/>
    <w:rsid w:val="00A13D4E"/>
    <w:rsid w:val="00A54163"/>
    <w:rsid w:val="00A62E8E"/>
    <w:rsid w:val="00A874A6"/>
    <w:rsid w:val="00A9121F"/>
    <w:rsid w:val="00AB03CF"/>
    <w:rsid w:val="00AF1739"/>
    <w:rsid w:val="00AF4289"/>
    <w:rsid w:val="00B016B6"/>
    <w:rsid w:val="00B017FB"/>
    <w:rsid w:val="00B159A0"/>
    <w:rsid w:val="00B1796F"/>
    <w:rsid w:val="00B4731A"/>
    <w:rsid w:val="00B52B64"/>
    <w:rsid w:val="00B54CD7"/>
    <w:rsid w:val="00B718F2"/>
    <w:rsid w:val="00B87759"/>
    <w:rsid w:val="00BE32E7"/>
    <w:rsid w:val="00C25C90"/>
    <w:rsid w:val="00C53C96"/>
    <w:rsid w:val="00C57478"/>
    <w:rsid w:val="00C9543E"/>
    <w:rsid w:val="00CB113F"/>
    <w:rsid w:val="00CF4594"/>
    <w:rsid w:val="00CF513A"/>
    <w:rsid w:val="00D22EAC"/>
    <w:rsid w:val="00D24D70"/>
    <w:rsid w:val="00D33231"/>
    <w:rsid w:val="00D440DD"/>
    <w:rsid w:val="00DB44C5"/>
    <w:rsid w:val="00DF7D2B"/>
    <w:rsid w:val="00E06F91"/>
    <w:rsid w:val="00E93768"/>
    <w:rsid w:val="00EA47C1"/>
    <w:rsid w:val="00EA5DD5"/>
    <w:rsid w:val="00F37D33"/>
    <w:rsid w:val="00F653D2"/>
    <w:rsid w:val="00F84062"/>
    <w:rsid w:val="00FC1FB0"/>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1D6A"/>
  <w15:chartTrackingRefBased/>
  <w15:docId w15:val="{0CD095B8-6E31-4B80-8A5C-653368D8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18F2"/>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B718F2"/>
  </w:style>
  <w:style w:type="character" w:customStyle="1" w:styleId="normaltextrun">
    <w:name w:val="normaltextrun"/>
    <w:basedOn w:val="DefaultParagraphFont"/>
    <w:rsid w:val="00B718F2"/>
  </w:style>
  <w:style w:type="character" w:customStyle="1" w:styleId="eop">
    <w:name w:val="eop"/>
    <w:basedOn w:val="DefaultParagraphFont"/>
    <w:rsid w:val="00B718F2"/>
  </w:style>
  <w:style w:type="character" w:customStyle="1" w:styleId="tabchar">
    <w:name w:val="tabchar"/>
    <w:basedOn w:val="DefaultParagraphFont"/>
    <w:rsid w:val="00B7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F81F14-B9A2-4329-B595-EBA2615BEE12}">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67E7D700-D8C5-45C9-BCAB-82EA2EBB9168}">
  <ds:schemaRefs>
    <ds:schemaRef ds:uri="http://schemas.microsoft.com/sharepoint/v3/contenttype/forms"/>
  </ds:schemaRefs>
</ds:datastoreItem>
</file>

<file path=customXml/itemProps3.xml><?xml version="1.0" encoding="utf-8"?>
<ds:datastoreItem xmlns:ds="http://schemas.openxmlformats.org/officeDocument/2006/customXml" ds:itemID="{10554D38-1868-4AC4-B2C8-01F80EA95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2</cp:revision>
  <dcterms:created xsi:type="dcterms:W3CDTF">2025-01-21T23:38:00Z</dcterms:created>
  <dcterms:modified xsi:type="dcterms:W3CDTF">2025-01-22T01:05:00Z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