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9ECC" w14:textId="77777777" w:rsidR="005E14BC" w:rsidRPr="001C33C8" w:rsidRDefault="005E14BC" w:rsidP="001C33C8"/>
    <w:p>
      <w:pPr>
        <w:pStyle w:val="Heading10"/>
        <w:tabs>
          <w:tab w:pos="10772" w:val="right"/>
        </w:tabs>
      </w:pPr>
      <w:r>
        <w:t>Atchison Dynamic ETF 55 SMA</w:t>
      </w:r>
      <w:r>
        <w:tab/>
      </w:r>
      <w:r>
        <w:t>30 November 2025</w:t>
      </w:r>
    </w:p>
    <w:tbl>
      <w:tblPr>
        <w:tblStyle w:val="AtchisonTable1"/>
        <w:tblW w:type="auto" w:w="0"/>
        <w:tblLook w:firstColumn="1" w:firstRow="1" w:lastColumn="0" w:lastRow="0" w:noHBand="0" w:noVBand="1" w:val="04A0"/>
      </w:tblPr>
      <w:tblGrid>
        <w:gridCol w:w="1842"/>
        <w:gridCol w:w="1842"/>
        <w:gridCol w:w="1842"/>
        <w:gridCol w:w="1842"/>
        <w:gridCol w:w="1842"/>
        <w:gridCol w:w="1842"/>
      </w:tblGrid>
      <w:tr>
        <w:tc>
          <w:tcPr>
            <w:tcW w:type="dxa" w:w="2551"/>
          </w:tcPr>
          <w:p/>
        </w:tc>
        <w:tc>
          <w:tcPr>
            <w:tcW w:type="dxa" w:w="1644"/>
          </w:tcPr>
          <w:p>
            <w:r>
              <w:t>3 Months</w:t>
            </w:r>
          </w:p>
        </w:tc>
        <w:tc>
          <w:tcPr>
            <w:tcW w:type="dxa" w:w="1644"/>
          </w:tcPr>
          <w:p>
            <w:r>
              <w:t>6 Months</w:t>
            </w:r>
          </w:p>
        </w:tc>
        <w:tc>
          <w:tcPr>
            <w:tcW w:type="dxa" w:w="1644"/>
          </w:tcPr>
          <w:p>
            <w:r>
              <w:t>1 Year</w:t>
            </w:r>
          </w:p>
        </w:tc>
        <w:tc>
          <w:tcPr>
            <w:tcW w:type="dxa" w:w="1644"/>
          </w:tcPr>
          <w:p>
            <w:r>
              <w:t>2 Years (p.a.)</w:t>
            </w:r>
          </w:p>
        </w:tc>
        <w:tc>
          <w:tcPr>
            <w:tcW w:type="dxa" w:w="1644"/>
          </w:tcPr>
          <w:p>
            <w:r>
              <w:t>Since Inception (p.a.)</w:t>
            </w:r>
          </w:p>
        </w:tc>
      </w:tr>
      <w:tr>
        <w:tc>
          <w:tcPr>
            <w:tcW w:type="dxa" w:w="2551"/>
          </w:tcPr>
          <w:p>
            <w:r>
              <w:t>Atchison55ETF</w:t>
            </w:r>
          </w:p>
        </w:tc>
        <w:tc>
          <w:tcPr>
            <w:tcW w:type="dxa" w:w="1644"/>
          </w:tcPr>
          <w:p>
            <w:r>
              <w:rPr>
                <w:b/>
              </w:rPr>
              <w:t>1.27</w:t>
            </w:r>
          </w:p>
        </w:tc>
        <w:tc>
          <w:tcPr>
            <w:tcW w:type="dxa" w:w="1644"/>
          </w:tcPr>
          <w:p>
            <w:r>
              <w:rPr>
                <w:b/>
              </w:rPr>
              <w:t>5.35</w:t>
            </w:r>
          </w:p>
        </w:tc>
        <w:tc>
          <w:tcPr>
            <w:tcW w:type="dxa" w:w="1644"/>
          </w:tcPr>
          <w:p>
            <w:r>
              <w:rPr>
                <w:b/>
              </w:rPr>
              <w:t>9.16</w:t>
            </w:r>
          </w:p>
        </w:tc>
        <w:tc>
          <w:tcPr>
            <w:tcW w:type="dxa" w:w="1644"/>
          </w:tcPr>
          <w:p>
            <w:r>
              <w:rPr>
                <w:b/>
              </w:rPr>
              <w:t>12.61</w:t>
            </w:r>
          </w:p>
        </w:tc>
        <w:tc>
          <w:tcPr>
            <w:tcW w:type="dxa" w:w="1644"/>
          </w:tcPr>
          <w:p>
            <w:r>
              <w:rPr>
                <w:b/>
              </w:rPr>
              <w:t>10.72</w:t>
            </w:r>
          </w:p>
        </w:tc>
      </w:tr>
      <w:tr>
        <w:tc>
          <w:tcPr>
            <w:tcW w:type="dxa" w:w="2551"/>
          </w:tcPr>
          <w:p>
            <w:r>
              <w:t>Peer Group</w:t>
            </w:r>
          </w:p>
        </w:tc>
        <w:tc>
          <w:tcPr>
            <w:tcW w:type="dxa" w:w="1644"/>
          </w:tcPr>
          <w:p>
            <w:r>
              <w:t>1.78</w:t>
            </w:r>
          </w:p>
        </w:tc>
        <w:tc>
          <w:tcPr>
            <w:tcW w:type="dxa" w:w="1644"/>
          </w:tcPr>
          <w:p>
            <w:r>
              <w:t>5.35</w:t>
            </w:r>
          </w:p>
        </w:tc>
        <w:tc>
          <w:tcPr>
            <w:tcW w:type="dxa" w:w="1644"/>
          </w:tcPr>
          <w:p>
            <w:r>
              <w:t>7.34</w:t>
            </w:r>
          </w:p>
        </w:tc>
        <w:tc>
          <w:tcPr>
            <w:tcW w:type="dxa" w:w="1644"/>
          </w:tcPr>
          <w:p>
            <w:r>
              <w:t>10.43</w:t>
            </w:r>
          </w:p>
        </w:tc>
        <w:tc>
          <w:tcPr>
            <w:tcW w:type="dxa" w:w="1644"/>
          </w:tcPr>
          <w:p>
            <w:r>
              <w:t>8.99</w:t>
            </w:r>
          </w:p>
        </w:tc>
      </w:tr>
      <w:tr>
        <w:tc>
          <w:tcPr>
            <w:tcW w:type="dxa" w:w="2551"/>
          </w:tcPr>
          <w:p>
            <w:r>
              <w:t>Inflation</w:t>
            </w:r>
          </w:p>
        </w:tc>
        <w:tc>
          <w:tcPr>
            <w:tcW w:type="dxa" w:w="1644"/>
          </w:tcPr>
          <w:p>
            <w:r>
              <w:t>2.52</w:t>
            </w:r>
          </w:p>
        </w:tc>
        <w:tc>
          <w:tcPr>
            <w:tcW w:type="dxa" w:w="1644"/>
          </w:tcPr>
          <w:p>
            <w:r>
              <w:t>2.33</w:t>
            </w:r>
          </w:p>
        </w:tc>
        <w:tc>
          <w:tcPr>
            <w:tcW w:type="dxa" w:w="1644"/>
          </w:tcPr>
          <w:p>
            <w:r>
              <w:t>3.79</w:t>
            </w:r>
          </w:p>
        </w:tc>
        <w:tc>
          <w:tcPr>
            <w:tcW w:type="dxa" w:w="1644"/>
          </w:tcPr>
          <w:p>
            <w:r>
              <w:t>3.02</w:t>
            </w:r>
          </w:p>
        </w:tc>
        <w:tc>
          <w:tcPr>
            <w:tcW w:type="dxa" w:w="1644"/>
          </w:tcPr>
          <w:p>
            <w:r>
              <w:t>3.16</w:t>
            </w:r>
          </w:p>
        </w:tc>
      </w:tr>
      <w:tr>
        <w:tc>
          <w:tcPr>
            <w:tcW w:type="dxa" w:w="2551"/>
          </w:tcPr>
          <w:p>
            <w:r>
              <w:t>Outperformance vs Peers</w:t>
            </w:r>
          </w:p>
        </w:tc>
        <w:tc>
          <w:tcPr>
            <w:tcW w:type="dxa" w:w="1644"/>
          </w:tcPr>
          <w:p>
            <w:r>
              <w:t>-0.51</w:t>
            </w:r>
          </w:p>
        </w:tc>
        <w:tc>
          <w:tcPr>
            <w:tcW w:type="dxa" w:w="1644"/>
          </w:tcPr>
          <w:p>
            <w:r>
              <w:t>-0.0</w:t>
            </w:r>
          </w:p>
        </w:tc>
        <w:tc>
          <w:tcPr>
            <w:tcW w:type="dxa" w:w="1644"/>
          </w:tcPr>
          <w:p>
            <w:r>
              <w:t>1.82</w:t>
            </w:r>
          </w:p>
        </w:tc>
        <w:tc>
          <w:tcPr>
            <w:tcW w:type="dxa" w:w="1644"/>
          </w:tcPr>
          <w:p>
            <w:r>
              <w:t>2.17</w:t>
            </w:r>
          </w:p>
        </w:tc>
        <w:tc>
          <w:tcPr>
            <w:tcW w:type="dxa" w:w="1644"/>
          </w:tcPr>
          <w:p>
            <w:r>
              <w:t>1.73</w:t>
            </w:r>
          </w:p>
        </w:tc>
      </w:tr>
      <w:tr>
        <w:tc>
          <w:tcPr>
            <w:tcW w:type="dxa" w:w="2551"/>
          </w:tcPr>
          <w:p>
            <w:r>
              <w:t>Outperformance vs Inflation</w:t>
            </w:r>
          </w:p>
        </w:tc>
        <w:tc>
          <w:tcPr>
            <w:tcW w:type="dxa" w:w="1644"/>
          </w:tcPr>
          <w:p>
            <w:r>
              <w:t>-1.25</w:t>
            </w:r>
          </w:p>
        </w:tc>
        <w:tc>
          <w:tcPr>
            <w:tcW w:type="dxa" w:w="1644"/>
          </w:tcPr>
          <w:p>
            <w:r>
              <w:t>3.01</w:t>
            </w:r>
          </w:p>
        </w:tc>
        <w:tc>
          <w:tcPr>
            <w:tcW w:type="dxa" w:w="1644"/>
          </w:tcPr>
          <w:p>
            <w:r>
              <w:t>5.37</w:t>
            </w:r>
          </w:p>
        </w:tc>
        <w:tc>
          <w:tcPr>
            <w:tcW w:type="dxa" w:w="1644"/>
          </w:tcPr>
          <w:p>
            <w:r>
              <w:t>9.59</w:t>
            </w:r>
          </w:p>
        </w:tc>
        <w:tc>
          <w:tcPr>
            <w:tcW w:type="dxa" w:w="1644"/>
          </w:tcPr>
          <w:p>
            <w:r>
              <w:t>7.56</w:t>
            </w:r>
          </w:p>
        </w:tc>
      </w:tr>
    </w:tbl>
    <w:p>
      <w:pPr>
        <w:pStyle w:val="Note"/>
      </w:pPr>
      <w:r>
        <w:t>Inception Date: 31 December 2022</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0" w:right="420" w:bottom="0" w:left="425" w:header="0" w:footer="726" w:gutter="0"/>
          <w:cols w:space="284"/>
          <w:docGrid w:linePitch="360"/>
        </w:sectPr>
      </w:pPr>
    </w:p>
    <w:p>
      <w:pPr>
        <w:pStyle w:val="Heading20"/>
      </w:pPr>
      <w:r>
        <w:t>Investment Objective</w:t>
      </w:r>
    </w:p>
    <w:p>
      <w:pPr>
        <w:pStyle w:val="BodyStyle"/>
      </w:pPr>
      <w:r>
        <w:t>Outperform the FE AMI Mixed Asset – Balanced Peer Index, after underlying manager fees and before tax, over rolling seven-year periods.</w:t>
      </w:r>
    </w:p>
    <w:p>
      <w:pPr>
        <w:pStyle w:val="Heading20"/>
      </w:pPr>
      <w:r>
        <w:t>Strategy Overview</w:t>
      </w:r>
    </w:p>
    <w:p>
      <w:pPr>
        <w:pStyle w:val="BodyStyle"/>
      </w:pPr>
      <w:r>
        <w:t>Atchison Dynamic ETF 55 Portfolio is a Separately Managed Account (SMA), which is an all-inclusive diversified, multi-asset, passive, low-cost, ETF investment portfolio professionally managed for you (the client) on behalf of a financial advisor. This portfolio is made up of 55% growth assets, and 45% defensive assets. Asset classes include Australian Shares, Global Shares, Alternatives, Floating Rate, Long Duration, Real Assets and Cash.</w:t>
      </w:r>
    </w:p>
    <w:tbl>
      <w:tblPr>
        <w:tblStyle w:val="AtchisonTable1"/>
        <w:tblW w:type="auto" w:w="0"/>
        <w:tblLook w:firstColumn="1" w:firstRow="1" w:lastColumn="0" w:lastRow="0" w:noHBand="0" w:noVBand="1" w:val="04A0"/>
      </w:tblPr>
      <w:tblGrid>
        <w:gridCol w:w="5527"/>
        <w:gridCol w:w="5527"/>
      </w:tblGrid>
      <w:tr>
        <w:tc>
          <w:tcPr>
            <w:tcW w:type="dxa" w:w="2268"/>
          </w:tcPr>
          <w:p>
            <w:r>
              <w:t>Key Details</w:t>
            </w:r>
          </w:p>
        </w:tc>
        <w:tc>
          <w:tcPr>
            <w:tcW w:type="dxa" w:w="3118"/>
          </w:tcPr>
          <w:p>
            <w:r/>
          </w:p>
        </w:tc>
      </w:tr>
      <w:tr>
        <w:tc>
          <w:tcPr>
            <w:tcW w:type="dxa" w:w="2268"/>
          </w:tcPr>
          <w:p>
            <w:r>
              <w:t>Strategy Category</w:t>
            </w:r>
          </w:p>
        </w:tc>
        <w:tc>
          <w:tcPr>
            <w:tcW w:type="dxa" w:w="3118"/>
          </w:tcPr>
          <w:p>
            <w:r>
              <w:t>Multi Asset</w:t>
            </w:r>
          </w:p>
        </w:tc>
      </w:tr>
      <w:tr>
        <w:tc>
          <w:tcPr>
            <w:tcW w:type="dxa" w:w="2268"/>
          </w:tcPr>
          <w:p>
            <w:r>
              <w:t>Strategy Provider</w:t>
            </w:r>
          </w:p>
        </w:tc>
        <w:tc>
          <w:tcPr>
            <w:tcW w:type="dxa" w:w="3118"/>
          </w:tcPr>
          <w:p>
            <w:r>
              <w:t>Atchison</w:t>
            </w:r>
          </w:p>
        </w:tc>
      </w:tr>
      <w:tr>
        <w:tc>
          <w:tcPr>
            <w:tcW w:type="dxa" w:w="2268"/>
          </w:tcPr>
          <w:p>
            <w:r>
              <w:t>Benchmark</w:t>
            </w:r>
          </w:p>
        </w:tc>
        <w:tc>
          <w:tcPr>
            <w:tcW w:type="dxa" w:w="3118"/>
          </w:tcPr>
          <w:p>
            <w:r>
              <w:t>FE AMI Mixed Asset – Balanced Peer Index</w:t>
            </w:r>
          </w:p>
        </w:tc>
      </w:tr>
      <w:tr>
        <w:tc>
          <w:tcPr>
            <w:tcW w:type="dxa" w:w="2268"/>
          </w:tcPr>
          <w:p>
            <w:r>
              <w:t>Inception Date</w:t>
            </w:r>
          </w:p>
        </w:tc>
        <w:tc>
          <w:tcPr>
            <w:tcW w:type="dxa" w:w="3118"/>
          </w:tcPr>
          <w:p>
            <w:r>
              <w:t>31 December 2022</w:t>
            </w:r>
          </w:p>
        </w:tc>
      </w:tr>
      <w:tr>
        <w:tc>
          <w:tcPr>
            <w:tcW w:type="dxa" w:w="2268"/>
          </w:tcPr>
          <w:p>
            <w:r>
              <w:t>Investment Horizon</w:t>
            </w:r>
          </w:p>
        </w:tc>
        <w:tc>
          <w:tcPr>
            <w:tcW w:type="dxa" w:w="3118"/>
          </w:tcPr>
          <w:p>
            <w:r>
              <w:t>7 Years</w:t>
            </w:r>
          </w:p>
        </w:tc>
      </w:tr>
      <w:tr>
        <w:tc>
          <w:tcPr>
            <w:tcW w:type="dxa" w:w="2268"/>
          </w:tcPr>
          <w:p>
            <w:r>
              <w:t>Risk Level (SRM)</w:t>
            </w:r>
          </w:p>
        </w:tc>
        <w:tc>
          <w:tcPr>
            <w:tcW w:type="dxa" w:w="3118"/>
          </w:tcPr>
          <w:p>
            <w:r>
              <w:t>Medium</w:t>
            </w:r>
          </w:p>
        </w:tc>
      </w:tr>
      <w:tr>
        <w:tc>
          <w:tcPr>
            <w:tcW w:type="dxa" w:w="2268"/>
          </w:tcPr>
          <w:p>
            <w:r>
              <w:t>Min Investment</w:t>
            </w:r>
          </w:p>
        </w:tc>
        <w:tc>
          <w:tcPr>
            <w:tcW w:type="dxa" w:w="3118"/>
          </w:tcPr>
          <w:p>
            <w:r>
              <w:t>25k</w:t>
            </w:r>
          </w:p>
        </w:tc>
      </w:tr>
      <w:tr>
        <w:tc>
          <w:tcPr>
            <w:tcW w:type="dxa" w:w="2268"/>
          </w:tcPr>
          <w:p>
            <w:r>
              <w:t>Product Fee</w:t>
            </w:r>
          </w:p>
        </w:tc>
        <w:tc>
          <w:tcPr>
            <w:tcW w:type="dxa" w:w="3118"/>
          </w:tcPr>
          <w:p>
            <w:r>
              <w:t>Platform Specific - Refer to PDS</w:t>
            </w:r>
          </w:p>
        </w:tc>
      </w:tr>
      <w:tr>
        <w:tc>
          <w:tcPr>
            <w:tcW w:type="dxa" w:w="2268"/>
          </w:tcPr>
          <w:p>
            <w:r>
              <w:t>Underlying MER</w:t>
            </w:r>
          </w:p>
        </w:tc>
        <w:tc>
          <w:tcPr>
            <w:tcW w:type="dxa" w:w="3118"/>
          </w:tcPr>
          <w:p>
            <w:r>
              <w:t>0.15%</w:t>
            </w:r>
          </w:p>
        </w:tc>
      </w:tr>
      <w:tr>
        <w:tc>
          <w:tcPr>
            <w:tcW w:type="dxa" w:w="2268"/>
          </w:tcPr>
          <w:p>
            <w:r>
              <w:t>Underlying Perf Fees</w:t>
            </w:r>
          </w:p>
        </w:tc>
        <w:tc>
          <w:tcPr>
            <w:tcW w:type="dxa" w:w="3118"/>
          </w:tcPr>
          <w:p>
            <w:r>
              <w:t>0.00%</w:t>
            </w:r>
          </w:p>
        </w:tc>
      </w:tr>
    </w:tbl>
    <w:p>
      <w:pPr>
        <w:pStyle w:val="Heading30"/>
      </w:pPr>
      <w:r>
        <w:t>Top 10 Share Exposures</w:t>
      </w:r>
    </w:p>
    <w:tbl>
      <w:tblPr>
        <w:tblStyle w:val="AtchisonTable1"/>
        <w:tblW w:type="auto" w:w="0"/>
        <w:tblLook w:firstColumn="1" w:firstRow="1" w:lastColumn="0" w:lastRow="0" w:noHBand="0" w:noVBand="1" w:val="04A0"/>
      </w:tblPr>
      <w:tblGrid>
        <w:gridCol w:w="5527"/>
        <w:gridCol w:w="5527"/>
      </w:tblGrid>
      <w:tr>
        <w:tc>
          <w:tcPr>
            <w:tcW w:type="dxa" w:w="1417"/>
          </w:tcPr>
          <w:p>
            <w:r>
              <w:rPr>
                <w:b/>
              </w:rPr>
              <w:t>Code</w:t>
            </w:r>
          </w:p>
        </w:tc>
        <w:tc>
          <w:tcPr>
            <w:tcW w:type="dxa" w:w="3685"/>
          </w:tcPr>
          <w:p>
            <w:r>
              <w:rPr>
                <w:b/>
              </w:rPr>
              <w:t>Name</w:t>
            </w:r>
          </w:p>
        </w:tc>
      </w:tr>
      <w:tr>
        <w:tc>
          <w:tcPr>
            <w:tcW w:type="dxa" w:w="1417"/>
          </w:tcPr>
          <w:p>
            <w:r>
              <w:t>BHP-AU</w:t>
            </w:r>
          </w:p>
        </w:tc>
        <w:tc>
          <w:tcPr>
            <w:tcW w:type="dxa" w:w="3685"/>
          </w:tcPr>
          <w:p>
            <w:r>
              <w:t>BHP Group Limited</w:t>
            </w:r>
          </w:p>
        </w:tc>
      </w:tr>
      <w:tr>
        <w:tc>
          <w:tcPr>
            <w:tcW w:type="dxa" w:w="1417"/>
          </w:tcPr>
          <w:p>
            <w:r>
              <w:t>CBA-AU</w:t>
            </w:r>
          </w:p>
        </w:tc>
        <w:tc>
          <w:tcPr>
            <w:tcW w:type="dxa" w:w="3685"/>
          </w:tcPr>
          <w:p>
            <w:r>
              <w:t>Commonwealth Bank of Australia</w:t>
            </w:r>
          </w:p>
        </w:tc>
      </w:tr>
      <w:tr>
        <w:tc>
          <w:tcPr>
            <w:tcW w:type="dxa" w:w="1417"/>
          </w:tcPr>
          <w:p>
            <w:r>
              <w:t>MSFT.NAS</w:t>
            </w:r>
          </w:p>
        </w:tc>
        <w:tc>
          <w:tcPr>
            <w:tcW w:type="dxa" w:w="3685"/>
          </w:tcPr>
          <w:p>
            <w:r>
              <w:t>MICROSOFT CORP</w:t>
            </w:r>
          </w:p>
        </w:tc>
      </w:tr>
      <w:tr>
        <w:tc>
          <w:tcPr>
            <w:tcW w:type="dxa" w:w="1417"/>
          </w:tcPr>
          <w:p>
            <w:r>
              <w:t>AAPL.NAS</w:t>
            </w:r>
          </w:p>
        </w:tc>
        <w:tc>
          <w:tcPr>
            <w:tcW w:type="dxa" w:w="3685"/>
          </w:tcPr>
          <w:p>
            <w:r>
              <w:t>APPLE INC</w:t>
            </w:r>
          </w:p>
        </w:tc>
      </w:tr>
      <w:tr>
        <w:tc>
          <w:tcPr>
            <w:tcW w:type="dxa" w:w="1417"/>
          </w:tcPr>
          <w:p>
            <w:r>
              <w:t>NAB-AU</w:t>
            </w:r>
          </w:p>
        </w:tc>
        <w:tc>
          <w:tcPr>
            <w:tcW w:type="dxa" w:w="3685"/>
          </w:tcPr>
          <w:p>
            <w:r>
              <w:t>National Australia Bank Limited</w:t>
            </w:r>
          </w:p>
        </w:tc>
      </w:tr>
      <w:tr>
        <w:tc>
          <w:tcPr>
            <w:tcW w:type="dxa" w:w="1417"/>
          </w:tcPr>
          <w:p>
            <w:r>
              <w:t>ANZ-AU</w:t>
            </w:r>
          </w:p>
        </w:tc>
        <w:tc>
          <w:tcPr>
            <w:tcW w:type="dxa" w:w="3685"/>
          </w:tcPr>
          <w:p>
            <w:r>
              <w:t>ANZ Group Holdings Limited</w:t>
            </w:r>
          </w:p>
        </w:tc>
      </w:tr>
      <w:tr>
        <w:tc>
          <w:tcPr>
            <w:tcW w:type="dxa" w:w="1417"/>
          </w:tcPr>
          <w:p>
            <w:r>
              <w:t>WBC-AU</w:t>
            </w:r>
          </w:p>
        </w:tc>
        <w:tc>
          <w:tcPr>
            <w:tcW w:type="dxa" w:w="3685"/>
          </w:tcPr>
          <w:p>
            <w:r>
              <w:t>Westpac Banking Corporation</w:t>
            </w:r>
          </w:p>
        </w:tc>
      </w:tr>
      <w:tr>
        <w:tc>
          <w:tcPr>
            <w:tcW w:type="dxa" w:w="1417"/>
          </w:tcPr>
          <w:p>
            <w:r>
              <w:t>CSL-AU</w:t>
            </w:r>
          </w:p>
        </w:tc>
        <w:tc>
          <w:tcPr>
            <w:tcW w:type="dxa" w:w="3685"/>
          </w:tcPr>
          <w:p>
            <w:r>
              <w:t>CSL Limited</w:t>
            </w:r>
          </w:p>
        </w:tc>
      </w:tr>
      <w:tr>
        <w:tc>
          <w:tcPr>
            <w:tcW w:type="dxa" w:w="1417"/>
          </w:tcPr>
          <w:p>
            <w:r>
              <w:t>WDS-AU</w:t>
            </w:r>
          </w:p>
        </w:tc>
        <w:tc>
          <w:tcPr>
            <w:tcW w:type="dxa" w:w="3685"/>
          </w:tcPr>
          <w:p>
            <w:r>
              <w:t>Woodside Energy Group Ltd</w:t>
            </w:r>
          </w:p>
        </w:tc>
      </w:tr>
      <w:tr>
        <w:tc>
          <w:tcPr>
            <w:tcW w:type="dxa" w:w="1417"/>
          </w:tcPr>
          <w:p>
            <w:r>
              <w:t>WES-AU</w:t>
            </w:r>
          </w:p>
        </w:tc>
        <w:tc>
          <w:tcPr>
            <w:tcW w:type="dxa" w:w="3685"/>
          </w:tcPr>
          <w:p>
            <w:r>
              <w:t>Wesfarmers Limited</w:t>
            </w:r>
          </w:p>
        </w:tc>
      </w:tr>
    </w:tbl>
    <w:br w:type="column"/>
    <w:p>
      <w:pPr>
        <w:pStyle w:val="Heading30"/>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0"/>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160000"/>
                    </a:xfrm>
                    <a:prstGeom prst="rect"/>
                  </pic:spPr>
                </pic:pic>
              </a:graphicData>
            </a:graphic>
          </wp:inline>
        </w:drawing>
      </w:r>
    </w:p>
    <w:p>
      <w:pPr>
        <w:pStyle w:val="Heading30"/>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21"/>
                    <a:stretch>
                      <a:fillRect/>
                    </a:stretch>
                  </pic:blipFill>
                  <pic:spPr>
                    <a:xfrm>
                      <a:off x="0" y="0"/>
                      <a:ext cx="3240000" cy="1800000"/>
                    </a:xfrm>
                    <a:prstGeom prst="rect"/>
                  </pic:spPr>
                </pic:pic>
              </a:graphicData>
            </a:graphic>
          </wp:inline>
        </w:drawing>
      </w:r>
    </w:p>
    <w:br w:type="column"/>
    <w:p>
      <w:pPr>
        <w:pStyle w:val="Heading30"/>
      </w:pPr>
      <w:r>
        <w:t>Asset Class Performance</w:t>
      </w:r>
    </w:p>
    <w:tbl>
      <w:tblPr>
        <w:tblStyle w:val="AtchisonTable1"/>
        <w:tblW w:type="auto" w:w="0"/>
        <w:tblLook w:firstColumn="1" w:firstRow="1" w:lastColumn="0" w:lastRow="0" w:noHBand="0" w:noVBand="1" w:val="04A0"/>
      </w:tblPr>
      <w:tblGrid>
        <w:gridCol w:w="3685"/>
        <w:gridCol w:w="3685"/>
        <w:gridCol w:w="3685"/>
      </w:tblGrid>
      <w:tr>
        <w:tc>
          <w:tcPr>
            <w:tcW w:type="dxa" w:w="1984"/>
          </w:tcPr>
          <w:p>
            <w:r>
              <w:rPr>
                <w:b/>
              </w:rPr>
              <w:t>Period</w:t>
            </w:r>
          </w:p>
        </w:tc>
        <w:tc>
          <w:tcPr>
            <w:tcW w:type="dxa" w:w="1559"/>
          </w:tcPr>
          <w:p>
            <w:r>
              <w:rPr>
                <w:b/>
              </w:rPr>
              <w:t>1 Year</w:t>
            </w:r>
          </w:p>
        </w:tc>
        <w:tc>
          <w:tcPr>
            <w:tcW w:type="dxa" w:w="1559"/>
          </w:tcPr>
          <w:p>
            <w:r>
              <w:rPr>
                <w:b/>
              </w:rPr>
              <w:t>2 Years (p.a.)</w:t>
            </w:r>
          </w:p>
        </w:tc>
      </w:tr>
      <w:tr>
        <w:tc>
          <w:tcPr>
            <w:tcW w:type="dxa" w:w="1984"/>
          </w:tcPr>
          <w:p>
            <w:r>
              <w:t>Australian Shares</w:t>
            </w:r>
          </w:p>
        </w:tc>
        <w:tc>
          <w:tcPr>
            <w:tcW w:type="dxa" w:w="1559"/>
          </w:tcPr>
          <w:p>
            <w:r>
              <w:t>4.54</w:t>
            </w:r>
          </w:p>
        </w:tc>
        <w:tc>
          <w:tcPr>
            <w:tcW w:type="dxa" w:w="1559"/>
          </w:tcPr>
          <w:p>
            <w:r>
              <w:t>13.29</w:t>
            </w:r>
          </w:p>
        </w:tc>
      </w:tr>
      <w:tr>
        <w:tc>
          <w:tcPr>
            <w:tcW w:type="dxa" w:w="1984"/>
          </w:tcPr>
          <w:p>
            <w:r>
              <w:t>International Shares</w:t>
            </w:r>
          </w:p>
        </w:tc>
        <w:tc>
          <w:tcPr>
            <w:tcW w:type="dxa" w:w="1559"/>
          </w:tcPr>
          <w:p>
            <w:r>
              <w:t>18.19</w:t>
            </w:r>
          </w:p>
        </w:tc>
        <w:tc>
          <w:tcPr>
            <w:tcW w:type="dxa" w:w="1559"/>
          </w:tcPr>
          <w:p>
            <w:r>
              <w:t>21.2</w:t>
            </w:r>
          </w:p>
        </w:tc>
      </w:tr>
      <w:tr>
        <w:tc>
          <w:tcPr>
            <w:tcW w:type="dxa" w:w="1984"/>
          </w:tcPr>
          <w:p>
            <w:r>
              <w:t>Real Assets</w:t>
            </w:r>
          </w:p>
        </w:tc>
        <w:tc>
          <w:tcPr>
            <w:tcW w:type="dxa" w:w="1559"/>
          </w:tcPr>
          <w:p>
            <w:r>
              <w:t>0.89</w:t>
            </w:r>
          </w:p>
        </w:tc>
        <w:tc>
          <w:tcPr>
            <w:tcW w:type="dxa" w:w="1559"/>
          </w:tcPr>
          <w:p>
            <w:r>
              <w:t>12.36</w:t>
            </w:r>
          </w:p>
        </w:tc>
      </w:tr>
      <w:tr>
        <w:tc>
          <w:tcPr>
            <w:tcW w:type="dxa" w:w="1984"/>
          </w:tcPr>
          <w:p>
            <w:r>
              <w:t>Alternatives</w:t>
            </w:r>
          </w:p>
        </w:tc>
        <w:tc>
          <w:tcPr>
            <w:tcW w:type="dxa" w:w="1559"/>
          </w:tcPr>
          <w:p>
            <w:r>
              <w:t>31.73</w:t>
            </w:r>
          </w:p>
        </w:tc>
        <w:tc>
          <w:tcPr>
            <w:tcW w:type="dxa" w:w="1559"/>
          </w:tcPr>
          <w:p>
            <w:r>
              <w:t>22.86</w:t>
            </w:r>
          </w:p>
        </w:tc>
      </w:tr>
      <w:tr>
        <w:tc>
          <w:tcPr>
            <w:tcW w:type="dxa" w:w="1984"/>
          </w:tcPr>
          <w:p>
            <w:r>
              <w:t>Long Duration</w:t>
            </w:r>
          </w:p>
        </w:tc>
        <w:tc>
          <w:tcPr>
            <w:tcW w:type="dxa" w:w="1559"/>
          </w:tcPr>
          <w:p>
            <w:r>
              <w:t>3.48</w:t>
            </w:r>
          </w:p>
        </w:tc>
        <w:tc>
          <w:tcPr>
            <w:tcW w:type="dxa" w:w="1559"/>
          </w:tcPr>
          <w:p>
            <w:r>
              <w:t>4.14</w:t>
            </w:r>
          </w:p>
        </w:tc>
      </w:tr>
      <w:tr>
        <w:tc>
          <w:tcPr>
            <w:tcW w:type="dxa" w:w="1984"/>
          </w:tcPr>
          <w:p>
            <w:r>
              <w:t>Floating Rate</w:t>
            </w:r>
          </w:p>
        </w:tc>
        <w:tc>
          <w:tcPr>
            <w:tcW w:type="dxa" w:w="1559"/>
          </w:tcPr>
          <w:p>
            <w:r>
              <w:t>4.47</w:t>
            </w:r>
          </w:p>
        </w:tc>
        <w:tc>
          <w:tcPr>
            <w:tcW w:type="dxa" w:w="1559"/>
          </w:tcPr>
          <w:p>
            <w:r>
              <w:t>5.05</w:t>
            </w:r>
          </w:p>
        </w:tc>
      </w:tr>
      <w:tr>
        <w:tc>
          <w:tcPr>
            <w:tcW w:type="dxa" w:w="1984"/>
          </w:tcPr>
          <w:p>
            <w:r>
              <w:t>Cash</w:t>
            </w:r>
          </w:p>
        </w:tc>
        <w:tc>
          <w:tcPr>
            <w:tcW w:type="dxa" w:w="1559"/>
          </w:tcPr>
          <w:p>
            <w:r>
              <w:t>4.13</w:t>
            </w:r>
          </w:p>
        </w:tc>
        <w:tc>
          <w:tcPr>
            <w:tcW w:type="dxa" w:w="1559"/>
          </w:tcPr>
          <w:p>
            <w:r>
              <w:t>4.33</w:t>
            </w:r>
          </w:p>
        </w:tc>
      </w:tr>
    </w:tbl>
    <w:p>
      <w:pPr>
        <w:pStyle w:val="Note"/>
      </w:pPr>
      <w:r>
        <w:t>Inception Date: 31 December 2022</w:t>
      </w:r>
    </w:p>
    <w:p>
      <w:pPr>
        <w:pStyle w:val="Heading30"/>
      </w:pPr>
      <w:r>
        <w:t>Portfolio Construction</w:t>
      </w:r>
    </w:p>
    <w:p>
      <w:r>
        <w:drawing>
          <wp:inline xmlns:a="http://schemas.openxmlformats.org/drawingml/2006/main" xmlns:pic="http://schemas.openxmlformats.org/drawingml/2006/picture">
            <wp:extent cx="3240000" cy="2322000"/>
            <wp:docPr id="4" name="Picture 4"/>
            <wp:cNvGraphicFramePr>
              <a:graphicFrameLocks noChangeAspect="1"/>
            </wp:cNvGraphicFramePr>
            <a:graphic>
              <a:graphicData uri="http://schemas.openxmlformats.org/drawingml/2006/picture">
                <pic:pic>
                  <pic:nvPicPr>
                    <pic:cNvPr id="0" name="3_Alloc_Mgr_Level_5.png"/>
                    <pic:cNvPicPr/>
                  </pic:nvPicPr>
                  <pic:blipFill>
                    <a:blip r:embed="rId22"/>
                    <a:stretch>
                      <a:fillRect/>
                    </a:stretch>
                  </pic:blipFill>
                  <pic:spPr>
                    <a:xfrm>
                      <a:off x="0" y="0"/>
                      <a:ext cx="3240000" cy="2322000"/>
                    </a:xfrm>
                    <a:prstGeom prst="rect"/>
                  </pic:spPr>
                </pic:pic>
              </a:graphicData>
            </a:graphic>
          </wp:inline>
        </w:drawing>
      </w:r>
    </w:p>
    <w:p>
      <w:pPr>
        <w:pStyle w:val="Heading30"/>
      </w:pPr>
      <w:r>
        <w:t>Correlations</w:t>
      </w:r>
    </w:p>
    <w:p>
      <w:r>
        <w:drawing>
          <wp:inline xmlns:a="http://schemas.openxmlformats.org/drawingml/2006/main" xmlns:pic="http://schemas.openxmlformats.org/drawingml/2006/picture">
            <wp:extent cx="3240000" cy="2700000"/>
            <wp:docPr id="5" name="Picture 5"/>
            <wp:cNvGraphicFramePr>
              <a:graphicFrameLocks noChangeAspect="1"/>
            </wp:cNvGraphicFramePr>
            <a:graphic>
              <a:graphicData uri="http://schemas.openxmlformats.org/drawingml/2006/picture">
                <pic:pic>
                  <pic:nvPicPr>
                    <pic:cNvPr id="0" name="6_Sleeve_MonthlyCorrel.png"/>
                    <pic:cNvPicPr/>
                  </pic:nvPicPr>
                  <pic:blipFill>
                    <a:blip r:embed="rId23"/>
                    <a:stretch>
                      <a:fillRect/>
                    </a:stretch>
                  </pic:blipFill>
                  <pic:spPr>
                    <a:xfrm>
                      <a:off x="0" y="0"/>
                      <a:ext cx="3240000" cy="2700000"/>
                    </a:xfrm>
                    <a:prstGeom prst="rect"/>
                  </pic:spPr>
                </pic:pic>
              </a:graphicData>
            </a:graphic>
          </wp:inline>
        </w:drawing>
      </w:r>
    </w:p>
    <w:br w:type="column"/>
    <w:p>
      <w:pPr>
        <w:pStyle w:val="Heading30"/>
      </w:pPr>
      <w:r>
        <w:t>Historical Allocation Changes</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3_Allocation_FloatHistory.png"/>
                    <pic:cNvPicPr/>
                  </pic:nvPicPr>
                  <pic:blipFill>
                    <a:blip r:embed="rId24"/>
                    <a:stretch>
                      <a:fillRect/>
                    </a:stretch>
                  </pic:blipFill>
                  <pic:spPr>
                    <a:xfrm>
                      <a:off x="0" y="0"/>
                      <a:ext cx="3240000" cy="2880000"/>
                    </a:xfrm>
                    <a:prstGeom prst="rect"/>
                  </pic:spPr>
                </pic:pic>
              </a:graphicData>
            </a:graphic>
          </wp:inline>
        </w:drawing>
      </w:r>
    </w:p>
    <w:p>
      <w:pPr>
        <w:pStyle w:val="Heading30"/>
      </w:pPr>
      <w:r>
        <w:t>Underlying Current Manager Performance</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2 Years (p.a.)</w:t>
            </w:r>
          </w:p>
        </w:tc>
      </w:tr>
      <w:tr>
        <w:tc>
          <w:tcPr>
            <w:tcW w:type="dxa" w:w="2268"/>
          </w:tcPr>
          <w:p>
            <w:r>
              <w:t>iShares ASX 200</w:t>
            </w:r>
          </w:p>
        </w:tc>
        <w:tc>
          <w:tcPr>
            <w:tcW w:type="dxa" w:w="1417"/>
          </w:tcPr>
          <w:p>
            <w:r>
              <w:t>5.49</w:t>
            </w:r>
          </w:p>
        </w:tc>
        <w:tc>
          <w:tcPr>
            <w:tcW w:type="dxa" w:w="1417"/>
          </w:tcPr>
          <w:p>
            <w:r>
              <w:t>14.02</w:t>
            </w:r>
          </w:p>
        </w:tc>
      </w:tr>
      <w:tr>
        <w:tc>
          <w:tcPr>
            <w:tcW w:type="dxa" w:w="2268"/>
          </w:tcPr>
          <w:p>
            <w:r>
              <w:rPr>
                <w:b/>
              </w:rPr>
              <w:t>BM: Australian Shares</w:t>
            </w:r>
          </w:p>
        </w:tc>
        <w:tc>
          <w:tcPr>
            <w:tcW w:type="dxa" w:w="1417"/>
          </w:tcPr>
          <w:p>
            <w:r>
              <w:rPr>
                <w:b/>
              </w:rPr>
              <w:t>5.4</w:t>
            </w:r>
          </w:p>
        </w:tc>
        <w:tc>
          <w:tcPr>
            <w:tcW w:type="dxa" w:w="1417"/>
          </w:tcPr>
          <w:p>
            <w:r>
              <w:rPr>
                <w:b/>
              </w:rPr>
              <w:t>13.96</w:t>
            </w:r>
          </w:p>
        </w:tc>
      </w:tr>
      <w:tr>
        <w:tc>
          <w:tcPr>
            <w:tcW w:type="dxa" w:w="2268"/>
          </w:tcPr>
          <w:p>
            <w:r>
              <w:t>iShares US 500</w:t>
            </w:r>
          </w:p>
        </w:tc>
        <w:tc>
          <w:tcPr>
            <w:tcW w:type="dxa" w:w="1417"/>
          </w:tcPr>
          <w:p>
            <w:r>
              <w:t>14.65</w:t>
            </w:r>
          </w:p>
        </w:tc>
        <w:tc>
          <w:tcPr>
            <w:tcW w:type="dxa" w:w="1417"/>
          </w:tcPr>
          <w:p>
            <w:r>
              <w:t>24.91</w:t>
            </w:r>
          </w:p>
        </w:tc>
      </w:tr>
      <w:tr>
        <w:tc>
          <w:tcPr>
            <w:tcW w:type="dxa" w:w="2268"/>
          </w:tcPr>
          <w:p>
            <w:r>
              <w:t>iShares US 500 Hedged</w:t>
            </w:r>
          </w:p>
        </w:tc>
        <w:tc>
          <w:tcPr>
            <w:tcW w:type="dxa" w:w="1417"/>
          </w:tcPr>
          <w:p>
            <w:r>
              <w:t>13.49</w:t>
            </w:r>
          </w:p>
        </w:tc>
        <w:tc>
          <w:tcPr>
            <w:tcW w:type="dxa" w:w="1417"/>
          </w:tcPr>
          <w:p>
            <w:r>
              <w:t>22.24</w:t>
            </w:r>
          </w:p>
        </w:tc>
      </w:tr>
      <w:tr>
        <w:tc>
          <w:tcPr>
            <w:tcW w:type="dxa" w:w="2268"/>
          </w:tcPr>
          <w:p>
            <w:r>
              <w:t>VG Europe Eq</w:t>
            </w:r>
          </w:p>
        </w:tc>
        <w:tc>
          <w:tcPr>
            <w:tcW w:type="dxa" w:w="1417"/>
          </w:tcPr>
          <w:p>
            <w:r>
              <w:t>26.37</w:t>
            </w:r>
          </w:p>
        </w:tc>
        <w:tc>
          <w:tcPr>
            <w:tcW w:type="dxa" w:w="1417"/>
          </w:tcPr>
          <w:p>
            <w:r>
              <w:t>18.37</w:t>
            </w:r>
          </w:p>
        </w:tc>
      </w:tr>
      <w:tr>
        <w:tc>
          <w:tcPr>
            <w:tcW w:type="dxa" w:w="2268"/>
          </w:tcPr>
          <w:p>
            <w:r>
              <w:t xml:space="preserve">iShares Japan </w:t>
            </w:r>
          </w:p>
        </w:tc>
        <w:tc>
          <w:tcPr>
            <w:tcW w:type="dxa" w:w="1417"/>
          </w:tcPr>
          <w:p>
            <w:r>
              <w:t>21.86</w:t>
            </w:r>
          </w:p>
        </w:tc>
        <w:tc>
          <w:tcPr>
            <w:tcW w:type="dxa" w:w="1417"/>
          </w:tcPr>
          <w:p>
            <w:r>
              <w:t>18.07</w:t>
            </w:r>
          </w:p>
        </w:tc>
      </w:tr>
      <w:tr>
        <w:tc>
          <w:tcPr>
            <w:tcW w:type="dxa" w:w="2268"/>
          </w:tcPr>
          <w:p>
            <w:r>
              <w:t>VG Asia ex Japan</w:t>
            </w:r>
          </w:p>
        </w:tc>
        <w:tc>
          <w:tcPr>
            <w:tcW w:type="dxa" w:w="1417"/>
          </w:tcPr>
          <w:p>
            <w:r>
              <w:t>27.79</w:t>
            </w:r>
          </w:p>
        </w:tc>
        <w:tc>
          <w:tcPr>
            <w:tcW w:type="dxa" w:w="1417"/>
          </w:tcPr>
          <w:p>
            <w:r>
              <w:t>22.65</w:t>
            </w:r>
          </w:p>
        </w:tc>
      </w:tr>
      <w:tr>
        <w:tc>
          <w:tcPr>
            <w:tcW w:type="dxa" w:w="2268"/>
          </w:tcPr>
          <w:p>
            <w:r>
              <w:t>VG All ex US Shares</w:t>
            </w:r>
          </w:p>
        </w:tc>
        <w:tc>
          <w:tcPr>
            <w:tcW w:type="dxa" w:w="1417"/>
          </w:tcPr>
          <w:p>
            <w:r>
              <w:t>25.01</w:t>
            </w:r>
          </w:p>
        </w:tc>
        <w:tc>
          <w:tcPr>
            <w:tcW w:type="dxa" w:w="1417"/>
          </w:tcPr>
          <w:p>
            <w:r>
              <w:t>19.74</w:t>
            </w:r>
          </w:p>
        </w:tc>
      </w:tr>
      <w:tr>
        <w:tc>
          <w:tcPr>
            <w:tcW w:type="dxa" w:w="2268"/>
          </w:tcPr>
          <w:p>
            <w:r>
              <w:rPr>
                <w:b/>
              </w:rPr>
              <w:t>BM: International Shares</w:t>
            </w:r>
          </w:p>
        </w:tc>
        <w:tc>
          <w:tcPr>
            <w:tcW w:type="dxa" w:w="1417"/>
          </w:tcPr>
          <w:p>
            <w:r>
              <w:rPr>
                <w:b/>
              </w:rPr>
              <w:t>18.49</w:t>
            </w:r>
          </w:p>
        </w:tc>
        <w:tc>
          <w:tcPr>
            <w:tcW w:type="dxa" w:w="1417"/>
          </w:tcPr>
          <w:p>
            <w:r>
              <w:rPr>
                <w:b/>
              </w:rPr>
              <w:t>22.78</w:t>
            </w:r>
          </w:p>
        </w:tc>
      </w:tr>
      <w:tr>
        <w:tc>
          <w:tcPr>
            <w:tcW w:type="dxa" w:w="2268"/>
          </w:tcPr>
          <w:p>
            <w:r>
              <w:t>iShares AREIT</w:t>
            </w:r>
          </w:p>
        </w:tc>
        <w:tc>
          <w:tcPr>
            <w:tcW w:type="dxa" w:w="1417"/>
          </w:tcPr>
          <w:p>
            <w:r>
              <w:t>-0.72</w:t>
            </w:r>
          </w:p>
        </w:tc>
        <w:tc>
          <w:tcPr>
            <w:tcW w:type="dxa" w:w="1417"/>
          </w:tcPr>
          <w:p>
            <w:r>
              <w:t>17.44</w:t>
            </w:r>
          </w:p>
        </w:tc>
      </w:tr>
      <w:tr>
        <w:tc>
          <w:tcPr>
            <w:tcW w:type="dxa" w:w="2268"/>
          </w:tcPr>
          <w:p>
            <w:r>
              <w:t>iShares GREIT</w:t>
            </w:r>
          </w:p>
        </w:tc>
        <w:tc>
          <w:tcPr>
            <w:tcW w:type="dxa" w:w="1417"/>
          </w:tcPr>
          <w:p>
            <w:r>
              <w:t>0.56</w:t>
            </w:r>
          </w:p>
        </w:tc>
        <w:tc>
          <w:tcPr>
            <w:tcW w:type="dxa" w:w="1417"/>
          </w:tcPr>
          <w:p>
            <w:r>
              <w:t>9.45</w:t>
            </w:r>
          </w:p>
        </w:tc>
      </w:tr>
      <w:tr>
        <w:tc>
          <w:tcPr>
            <w:tcW w:type="dxa" w:w="2268"/>
          </w:tcPr>
          <w:p>
            <w:r>
              <w:t>iShares Glob Infra H</w:t>
            </w:r>
          </w:p>
        </w:tc>
        <w:tc>
          <w:tcPr>
            <w:tcW w:type="dxa" w:w="1417"/>
          </w:tcPr>
          <w:p>
            <w:r>
              <w:t>7.66</w:t>
            </w:r>
          </w:p>
        </w:tc>
        <w:tc>
          <w:tcPr>
            <w:tcW w:type="dxa" w:w="1417"/>
          </w:tcPr>
          <w:p>
            <w:r>
              <w:t>14.76</w:t>
            </w:r>
          </w:p>
        </w:tc>
      </w:tr>
      <w:tr>
        <w:tc>
          <w:tcPr>
            <w:tcW w:type="dxa" w:w="2268"/>
          </w:tcPr>
          <w:p>
            <w:r>
              <w:rPr>
                <w:b/>
              </w:rPr>
              <w:t>BM: Real Assets</w:t>
            </w:r>
          </w:p>
        </w:tc>
        <w:tc>
          <w:tcPr>
            <w:tcW w:type="dxa" w:w="1417"/>
          </w:tcPr>
          <w:p>
            <w:r>
              <w:rPr>
                <w:b/>
              </w:rPr>
              <w:t>2.81</w:t>
            </w:r>
          </w:p>
        </w:tc>
        <w:tc>
          <w:tcPr>
            <w:tcW w:type="dxa" w:w="1417"/>
          </w:tcPr>
          <w:p>
            <w:r>
              <w:rPr>
                <w:b/>
              </w:rPr>
              <w:t>10.87</w:t>
            </w:r>
          </w:p>
        </w:tc>
      </w:tr>
      <w:tr>
        <w:tc>
          <w:tcPr>
            <w:tcW w:type="dxa" w:w="2268"/>
          </w:tcPr>
          <w:p>
            <w:r>
              <w:t>VE Global Listed P Private ETF</w:t>
            </w:r>
          </w:p>
        </w:tc>
        <w:tc>
          <w:tcPr>
            <w:tcW w:type="dxa" w:w="1417"/>
          </w:tcPr>
          <w:p>
            <w:r>
              <w:t>-5.91</w:t>
            </w:r>
          </w:p>
        </w:tc>
        <w:tc>
          <w:tcPr>
            <w:tcW w:type="dxa" w:w="1417"/>
          </w:tcPr>
          <w:p>
            <w:r>
              <w:t>15.72</w:t>
            </w:r>
          </w:p>
        </w:tc>
      </w:tr>
      <w:tr>
        <w:tc>
          <w:tcPr>
            <w:tcW w:type="dxa" w:w="2268"/>
          </w:tcPr>
          <w:p>
            <w:r>
              <w:t>iShares Physical Gold</w:t>
            </w:r>
          </w:p>
        </w:tc>
        <w:tc>
          <w:tcPr>
            <w:tcW w:type="dxa" w:w="1417"/>
          </w:tcPr>
          <w:p>
            <w:r>
              <w:t>56.37</w:t>
            </w:r>
          </w:p>
        </w:tc>
        <w:tc>
          <w:tcPr>
            <w:tcW w:type="dxa" w:w="1417"/>
          </w:tcPr>
          <w:p>
            <w:r>
              <w:t>43.81</w:t>
            </w:r>
          </w:p>
        </w:tc>
      </w:tr>
      <w:tr>
        <w:tc>
          <w:tcPr>
            <w:tcW w:type="dxa" w:w="2268"/>
          </w:tcPr>
          <w:p>
            <w:r>
              <w:rPr>
                <w:b/>
              </w:rPr>
              <w:t>BM: Alternatives</w:t>
            </w:r>
          </w:p>
        </w:tc>
        <w:tc>
          <w:tcPr>
            <w:tcW w:type="dxa" w:w="1417"/>
          </w:tcPr>
          <w:p>
            <w:r>
              <w:rPr>
                <w:b/>
              </w:rPr>
              <w:t>4.12</w:t>
            </w:r>
          </w:p>
        </w:tc>
        <w:tc>
          <w:tcPr>
            <w:tcW w:type="dxa" w:w="1417"/>
          </w:tcPr>
          <w:p>
            <w:r>
              <w:rPr>
                <w:b/>
              </w:rPr>
              <w:t>4.35</w:t>
            </w:r>
          </w:p>
        </w:tc>
      </w:tr>
      <w:tr>
        <w:tc>
          <w:tcPr>
            <w:tcW w:type="dxa" w:w="2268"/>
          </w:tcPr>
          <w:p>
            <w:r>
              <w:t>iShares Aus Bond</w:t>
            </w:r>
          </w:p>
        </w:tc>
        <w:tc>
          <w:tcPr>
            <w:tcW w:type="dxa" w:w="1417"/>
          </w:tcPr>
          <w:p>
            <w:r>
              <w:t>4.28</w:t>
            </w:r>
          </w:p>
        </w:tc>
        <w:tc>
          <w:tcPr>
            <w:tcW w:type="dxa" w:w="1417"/>
          </w:tcPr>
          <w:p>
            <w:r>
              <w:t>4.63</w:t>
            </w:r>
          </w:p>
        </w:tc>
      </w:tr>
      <w:tr>
        <w:tc>
          <w:tcPr>
            <w:tcW w:type="dxa" w:w="2268"/>
          </w:tcPr>
          <w:p>
            <w:r>
              <w:t>iShares Globa Agg ESG</w:t>
            </w:r>
          </w:p>
        </w:tc>
        <w:tc>
          <w:tcPr>
            <w:tcW w:type="dxa" w:w="1417"/>
          </w:tcPr>
          <w:p>
            <w:r>
              <w:t>3.53</w:t>
            </w:r>
          </w:p>
        </w:tc>
        <w:tc>
          <w:tcPr>
            <w:tcW w:type="dxa" w:w="1417"/>
          </w:tcPr>
          <w:p>
            <w:r>
              <w:t>4.43</w:t>
            </w:r>
          </w:p>
        </w:tc>
      </w:tr>
      <w:tr>
        <w:tc>
          <w:tcPr>
            <w:tcW w:type="dxa" w:w="2268"/>
          </w:tcPr>
          <w:p>
            <w:r>
              <w:rPr>
                <w:b/>
              </w:rPr>
              <w:t>BM: Duration</w:t>
            </w:r>
          </w:p>
        </w:tc>
        <w:tc>
          <w:tcPr>
            <w:tcW w:type="dxa" w:w="1417"/>
          </w:tcPr>
          <w:p>
            <w:r>
              <w:rPr>
                <w:b/>
              </w:rPr>
              <w:t>3.91</w:t>
            </w:r>
          </w:p>
        </w:tc>
        <w:tc>
          <w:tcPr>
            <w:tcW w:type="dxa" w:w="1417"/>
          </w:tcPr>
          <w:p>
            <w:r>
              <w:rPr>
                <w:b/>
              </w:rPr>
              <w:t>4.68</w:t>
            </w:r>
          </w:p>
        </w:tc>
      </w:tr>
      <w:tr>
        <w:tc>
          <w:tcPr>
            <w:tcW w:type="dxa" w:w="2268"/>
          </w:tcPr>
          <w:p>
            <w:r>
              <w:t>VanEck FRN</w:t>
            </w:r>
          </w:p>
        </w:tc>
        <w:tc>
          <w:tcPr>
            <w:tcW w:type="dxa" w:w="1417"/>
          </w:tcPr>
          <w:p>
            <w:r>
              <w:t>5.01</w:t>
            </w:r>
          </w:p>
        </w:tc>
        <w:tc>
          <w:tcPr>
            <w:tcW w:type="dxa" w:w="1417"/>
          </w:tcPr>
          <w:p>
            <w:r>
              <w:t>5.22</w:t>
            </w:r>
          </w:p>
        </w:tc>
      </w:tr>
      <w:tr>
        <w:tc>
          <w:tcPr>
            <w:tcW w:type="dxa" w:w="2268"/>
          </w:tcPr>
          <w:p>
            <w:r>
              <w:t>iShares Enh Cash</w:t>
            </w:r>
          </w:p>
        </w:tc>
        <w:tc>
          <w:tcPr>
            <w:tcW w:type="dxa" w:w="1417"/>
          </w:tcPr>
          <w:p>
            <w:r>
              <w:t>4.28</w:t>
            </w:r>
          </w:p>
        </w:tc>
        <w:tc>
          <w:tcPr>
            <w:tcW w:type="dxa" w:w="1417"/>
          </w:tcPr>
          <w:p>
            <w:r>
              <w:t>4.48</w:t>
            </w:r>
          </w:p>
        </w:tc>
      </w:tr>
      <w:tr>
        <w:tc>
          <w:tcPr>
            <w:tcW w:type="dxa" w:w="2268"/>
          </w:tcPr>
          <w:p>
            <w:r>
              <w:t>VE Aus SubDebt ETF</w:t>
            </w:r>
          </w:p>
        </w:tc>
        <w:tc>
          <w:tcPr>
            <w:tcW w:type="dxa" w:w="1417"/>
          </w:tcPr>
          <w:p>
            <w:r>
              <w:t>16.51</w:t>
            </w:r>
          </w:p>
        </w:tc>
        <w:tc>
          <w:tcPr>
            <w:tcW w:type="dxa" w:w="1417"/>
          </w:tcPr>
          <w:p>
            <w:r>
              <w:t>11.83</w:t>
            </w:r>
          </w:p>
        </w:tc>
      </w:tr>
      <w:tr>
        <w:tc>
          <w:tcPr>
            <w:tcW w:type="dxa" w:w="2268"/>
          </w:tcPr>
          <w:p>
            <w:r>
              <w:rPr>
                <w:b/>
              </w:rPr>
              <w:t>BM: Floating</w:t>
            </w:r>
          </w:p>
        </w:tc>
        <w:tc>
          <w:tcPr>
            <w:tcW w:type="dxa" w:w="1417"/>
          </w:tcPr>
          <w:p>
            <w:r>
              <w:rPr>
                <w:b/>
              </w:rPr>
              <w:t>4.84</w:t>
            </w:r>
          </w:p>
        </w:tc>
        <w:tc>
          <w:tcPr>
            <w:tcW w:type="dxa" w:w="1417"/>
          </w:tcPr>
          <w:p>
            <w:r>
              <w:rPr>
                <w:b/>
              </w:rPr>
              <w:t>5.17</w:t>
            </w:r>
          </w:p>
        </w:tc>
      </w:tr>
      <w:tr>
        <w:tc>
          <w:tcPr>
            <w:tcW w:type="dxa" w:w="2268"/>
          </w:tcPr>
          <w:p>
            <w:r>
              <w:t>iShares Cash</w:t>
            </w:r>
          </w:p>
        </w:tc>
        <w:tc>
          <w:tcPr>
            <w:tcW w:type="dxa" w:w="1417"/>
          </w:tcPr>
          <w:p>
            <w:r>
              <w:t>4.13</w:t>
            </w:r>
          </w:p>
        </w:tc>
        <w:tc>
          <w:tcPr>
            <w:tcW w:type="dxa" w:w="1417"/>
          </w:tcPr>
          <w:p>
            <w:r>
              <w:t>4.34</w:t>
            </w:r>
          </w:p>
        </w:tc>
      </w:tr>
      <w:tr>
        <w:tc>
          <w:tcPr>
            <w:tcW w:type="dxa" w:w="2268"/>
          </w:tcPr>
          <w:p>
            <w:r>
              <w:t>Cash</w:t>
            </w:r>
          </w:p>
        </w:tc>
        <w:tc>
          <w:tcPr>
            <w:tcW w:type="dxa" w:w="1417"/>
          </w:tcPr>
          <w:p>
            <w:r>
              <w:t>4.12</w:t>
            </w:r>
          </w:p>
        </w:tc>
        <w:tc>
          <w:tcPr>
            <w:tcW w:type="dxa" w:w="1417"/>
          </w:tcPr>
          <w:p>
            <w:r>
              <w:t>4.35</w:t>
            </w:r>
          </w:p>
        </w:tc>
      </w:tr>
    </w:tbl>
    <w:p>
      <w:pPr>
        <w:pStyle w:val="Note"/>
      </w:pPr>
      <w:r>
        <w:t>Inception Date: 31 December 2022</w:t>
      </w:r>
    </w:p>
    <w:p>
      <w:pPr>
        <w:pStyle w:val="BodyStyle"/>
      </w:pPr>
      <w:r>
        <w:t>Underlying investment manager returns are shown after fees and before tax</w:t>
      </w:r>
    </w:p>
    <w:br w:type="column"/>
    <w:p>
      <w:pPr>
        <w:pStyle w:val="Heading20"/>
      </w:pPr>
      <w:r>
        <w:t>Market Update</w:t>
      </w:r>
    </w:p>
    <w:p>
      <w:pPr>
        <w:pStyle w:val="BodyStyle"/>
      </w:pPr>
      <w:r>
        <w:t>Australia’s S&amp;P/ASX 200 retreated 3 percent, while New Zealand’s S&amp;P/NZX 50 also finished the month slightly lower.</w:t>
        <w:br/>
        <w:br/>
        <w:t>The weakness in the S&amp;P/ASX 200 was driven primarily by Financials, which fell 7 percent. Information Technology performed even more poorly, sliding 12 percent. By contrast, Health Care and Consumer Staples were relative bright spots, each advancing 2 percent.</w:t>
        <w:br/>
        <w:br/>
        <w:t>For the month, low volatility as a factor stood out as the only index to deliver a positive return. Growth and Momentum factors, however, were among the weakest performers.</w:t>
        <w:br/>
        <w:br/>
        <w:t>Chinese equities dipped in November as early-month gains faded. Weak manufacturing and services data, ongoing property-sector strain, and softer domestic demand weighed on market sentiment.</w:t>
        <w:br/>
        <w:br/>
        <w:t>The S&amp;P500 finished muted for the month up 0.13%. Sector performance among large-caps was mixed. Health Care delivered an exceptional 9 percent return. Information Technology fell 4 percent amid renewed worries about an AI-driven valuation bubble, although it recovered strongly toward month end.</w:t>
        <w:br/>
        <w:br/>
        <w:t>Mid and small-capitalisation stocks outperformed, with midcaps rising 2 percent and smallcaps gaining 3 percent.</w:t>
        <w:br/>
        <w:br/>
        <w:t>Factor performance shifted from the previous month, with Low Volatility and Dividend strategies outperforming High Beta, while Value led Growth.</w:t>
        <w:br/>
        <w:br/>
        <w:t>Europe delivered a subdued but positive outcome in November, edging up 1 percent. Health Care stood out as the strongest performing sector, rising 6 percent over the month. At the opposite end, Information Technology declined 4 percent as concerns about stretched valuations weighed on sentiment.</w:t>
        <w:br/>
        <w:br/>
        <w:t>Fixed income markets generally remained under pressure. After leaving the cash rate unchanged in early November, the Reserve Bank of Australia is now viewed as more likely to tighten than ease, particularly following stronger than expected inflation data.</w:t>
        <w:br/>
        <w:br/>
        <w:t>Most major fixed income indices advanced. U.S. Treasuries firmed as markets priced in a higher likelihood of rate cuts, with the 10-year yield dipping below 4 percent.</w:t>
        <w:br/>
        <w:br/>
        <w:t>Crude oil, fell 4 percent, while gold continued its strong run, rising a further 5 percent to take its year to date gain to 57 percent.</w:t>
        <w:br/>
        <w:br/>
      </w:r>
    </w:p>
    <w:p>
      <w:pPr>
        <w:pStyle w:val="Heading20"/>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1C33C8" w:rsidSect="000C01EB">
      <w:type w:val="continuous"/>
      <w:pgSz w:w="11900" w:h="16840" w:code="9"/>
      <w:pgMar w:top="0" w:right="420" w:bottom="0" w:left="425" w:header="0" w:footer="726" w:gutter="0"/>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4F110" w14:textId="77777777" w:rsidR="00EC1404" w:rsidRDefault="00EC1404" w:rsidP="007B4373">
      <w:r>
        <w:separator/>
      </w:r>
    </w:p>
  </w:endnote>
  <w:endnote w:type="continuationSeparator" w:id="0">
    <w:p w14:paraId="7A11A369" w14:textId="77777777" w:rsidR="00EC1404" w:rsidRDefault="00EC1404"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73BF" w14:textId="77777777" w:rsidR="005B64E3" w:rsidRDefault="005B6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48599FFE" w:rsidR="0057386D" w:rsidRDefault="00DF12F7"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53366E12">
              <wp:simplePos x="0" y="0"/>
              <wp:positionH relativeFrom="margin">
                <wp:posOffset>0</wp:posOffset>
              </wp:positionH>
              <wp:positionV relativeFrom="page">
                <wp:posOffset>10124440</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C66C28D" id="Straight Connector 9" o:spid="_x0000_s1026" style="position:absolute;flip:y;z-index:251649536;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7.2pt" to="546pt,79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X3PFQ90AAAALAQAADwAAAGRycy9k&#10;b3ducmV2LnhtbEyPwU7DMBBE70j8g7VI3KhDFWgb4lQoUoUQvbRFcHXjJYmw15Httunfsz0gOO6b&#10;0exMuRydFUcMsfek4H6SgUBqvOmpVfC+W93NQcSkyWjrCRWcMcKyur4qdWH8iTZ43KZWcAjFQivo&#10;UhoKKWPTodNx4gck1r58cDrxGVppgj5xuLNymmWP0ume+EOnB6w7bL63B6dg/rabrWMKrx/2ZV2v&#10;Qn7+lLNaqdub8fkJRMIx/ZnhUp+rQ8Wd9v5AJgqrgIckpg+LPAdx0bPFlNn+l8mqlP83VD8AAAD/&#10;/wMAUEsBAi0AFAAGAAgAAAAhALaDOJL+AAAA4QEAABMAAAAAAAAAAAAAAAAAAAAAAFtDb250ZW50&#10;X1R5cGVzXS54bWxQSwECLQAUAAYACAAAACEAOP0h/9YAAACUAQAACwAAAAAAAAAAAAAAAAAvAQAA&#10;X3JlbHMvLnJlbHNQSwECLQAUAAYACAAAACEAmKZXU74BAABrAwAADgAAAAAAAAAAAAAAAAAuAgAA&#10;ZHJzL2Uyb0RvYy54bWxQSwECLQAUAAYACAAAACEAX3PFQ90AAAALAQAADwAAAAAAAAAAAAAAAAAY&#10;BAAAZHJzL2Rvd25yZXYueG1sUEsFBgAAAAAEAAQA8wAAACIFA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654656" behindDoc="0" locked="0" layoutInCell="1" allowOverlap="1" wp14:anchorId="2E8614D7" wp14:editId="315BA938">
              <wp:simplePos x="0" y="0"/>
              <wp:positionH relativeFrom="column">
                <wp:posOffset>6587490</wp:posOffset>
              </wp:positionH>
              <wp:positionV relativeFrom="page">
                <wp:posOffset>10172700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801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sq5qRN8AAAAPAQAADwAAAGRycy9kb3ducmV2LnhtbExPy07DMBC8&#10;I/EP1iJxo3ZKFaoQp0IghDghWlTg5sTbJCJeR7Gbhr9ncyq3ndnRPPLN5Dox4hBaTxqShQKBVHnb&#10;Uq3hY/d8swYRoiFrOk+o4RcDbIrLi9xk1p/oHcdtrAWbUMiMhibGPpMyVA06Exa+R+LfwQ/ORIZD&#10;Le1gTmzuOrlUKpXOtMQJjenxscHqZ3t0nKu+5f7pdV+uR//lmt3LeLCfb1pfX00P9yAiTvEshrk+&#10;V4eCO5X+SDaIjrG6vVuxlq9ULXnWrFHpzJUzt0oSkEUu/+8o/gAAAP//AwBQSwECLQAUAAYACAAA&#10;ACEAtoM4kv4AAADhAQAAEwAAAAAAAAAAAAAAAAAAAAAAW0NvbnRlbnRfVHlwZXNdLnhtbFBLAQIt&#10;ABQABgAIAAAAIQA4/SH/1gAAAJQBAAALAAAAAAAAAAAAAAAAAC8BAABfcmVscy8ucmVsc1BLAQIt&#10;ABQABgAIAAAAIQDTVWEGHgIAAD4EAAAOAAAAAAAAAAAAAAAAAC4CAABkcnMvZTJvRG9jLnhtbFBL&#10;AQItABQABgAIAAAAIQCyrmpE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2B309A7B" w:rsidR="005F6BD8" w:rsidRDefault="002976D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627120AF">
              <wp:simplePos x="0" y="0"/>
              <wp:positionH relativeFrom="margin">
                <wp:posOffset>0</wp:posOffset>
              </wp:positionH>
              <wp:positionV relativeFrom="page">
                <wp:posOffset>10095865</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B234CCC"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4.95pt" to="535.5pt,79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DF8zDc3QAAAAsBAAAPAAAAZHJzL2Rvd25y&#10;ZXYueG1sTI/BTsMwEETvSPyDtUhcEHWMoDQhTkUryr2lvbuxiSPsdRS7aejXszmV474Zzc6Uy9E7&#10;Npg+tgEliFkGzGAddIuNhP3X5nEBLCaFWrmARsKvibCsbm9KVehwxq0ZdqlhFIKxUBJsSl3Beayt&#10;8SrOQmeQtO/Qe5Xo7Buue3WmcO/4U5bNuVct0gerOrO2pv7ZnbyEy8d8a+1m9Xl4WOluLy5uPYiD&#10;lPd34/sbsGTGdDXDVJ+qQ0WdjuGEOjIngYYkoi+LPAc26dmrIHacWC6egVcl/7+h+gMAAP//AwBQ&#10;SwECLQAUAAYACAAAACEAtoM4kv4AAADhAQAAEwAAAAAAAAAAAAAAAAAAAAAAW0NvbnRlbnRfVHlw&#10;ZXNdLnhtbFBLAQItABQABgAIAAAAIQA4/SH/1gAAAJQBAAALAAAAAAAAAAAAAAAAAC8BAABfcmVs&#10;cy8ucmVsc1BLAQItABQABgAIAAAAIQCwQMegugEAAGQDAAAOAAAAAAAAAAAAAAAAAC4CAABkcnMv&#10;ZTJvRG9jLnhtbFBLAQItABQABgAIAAAAIQDF8zDc3QAAAAsBAAAPAAAAAAAAAAAAAAAAABQEAABk&#10;cnMvZG93bnJldi54bWxQSwUGAAAAAAQABADzAAAAHgU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720192" behindDoc="0" locked="0" layoutInCell="1" allowOverlap="1" wp14:anchorId="49980B01" wp14:editId="02A3271F">
              <wp:simplePos x="0" y="0"/>
              <wp:positionH relativeFrom="column">
                <wp:posOffset>5968365</wp:posOffset>
              </wp:positionH>
              <wp:positionV relativeFrom="page">
                <wp:posOffset>10187305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802.1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AAp7DC4QAAAA4BAAAPAAAAZHJzL2Rvd25yZXYueG1sTI9N&#10;T4QwEIbvJv6HZky8ue0KIQtSNkZjjCfjrln1VugsJdIpoV0W/73lpMeZ98n7UW5n27MJR985krBe&#10;CWBIjdMdtRLe9083G2A+KNKqd4QSftDDtrq8KFWh3ZnecNqFlkUT8oWSYEIYCs59Y9Aqv3IDUtSO&#10;brQqxHNsuR7VOZrbnt8KkXGrOooJRg34YLD53p1szBVf/PD4cqg3k/u0Zv88HfXHq5TXV/P9HbCA&#10;c/iDYakfq0MVO9XuRNqzXkKe5HlEo5CJNAG2ICJL18Dq5ZcmKfCq5P9nVL8AAAD//wMAUEsBAi0A&#10;FAAGAAgAAAAhALaDOJL+AAAA4QEAABMAAAAAAAAAAAAAAAAAAAAAAFtDb250ZW50X1R5cGVzXS54&#10;bWxQSwECLQAUAAYACAAAACEAOP0h/9YAAACUAQAACwAAAAAAAAAAAAAAAAAvAQAAX3JlbHMvLnJl&#10;bHNQSwECLQAUAAYACAAAACEAcsEzJCMCAABFBAAADgAAAAAAAAAAAAAAAAAuAgAAZHJzL2Uyb0Rv&#10;Yy54bWxQSwECLQAUAAYACAAAACEAAKewwuEAAAAOAQAADwAAAAAAAAAAAAAAAAB9BAAAZHJzL2Rv&#10;d25yZXYueG1sUEsFBgAAAAAEAAQA8wAAAIsFA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AD7EB" w14:textId="77777777" w:rsidR="00EC1404" w:rsidRDefault="00EC1404" w:rsidP="007B4373">
      <w:r>
        <w:separator/>
      </w:r>
    </w:p>
  </w:footnote>
  <w:footnote w:type="continuationSeparator" w:id="0">
    <w:p w14:paraId="32251D29" w14:textId="77777777" w:rsidR="00EC1404" w:rsidRDefault="00EC1404"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EB7E6" w14:textId="77777777" w:rsidR="005B64E3" w:rsidRDefault="005B64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03A" w14:textId="77777777" w:rsidR="005B64E3" w:rsidRDefault="005B64E3">
    <w:pPr>
      <w:rPr>
        <w:sz w:val="36"/>
        <w:szCs w:val="32"/>
      </w:rPr>
    </w:pPr>
  </w:p>
  <w:p w14:paraId="1A2E350C" w14:textId="724ED1AC" w:rsidR="001C33C8" w:rsidRDefault="00844973">
    <w:r w:rsidRPr="005A6718">
      <w:rPr>
        <w:b/>
        <w:bCs/>
        <w:noProof/>
      </w:rPr>
      <w:drawing>
        <wp:anchor distT="0" distB="288290" distL="0" distR="0" simplePos="0" relativeHeight="251724288" behindDoc="1" locked="0" layoutInCell="1" allowOverlap="1" wp14:anchorId="46544061" wp14:editId="2A81C8E8">
          <wp:simplePos x="0" y="0"/>
          <wp:positionH relativeFrom="page">
            <wp:posOffset>0</wp:posOffset>
          </wp:positionH>
          <wp:positionV relativeFrom="page">
            <wp:posOffset>-76200</wp:posOffset>
          </wp:positionV>
          <wp:extent cx="7559675" cy="1702435"/>
          <wp:effectExtent l="0" t="0" r="3175" b="0"/>
          <wp:wrapNone/>
          <wp:docPr id="707376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59675" cy="1702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BB94FC" w14:textId="77777777" w:rsidR="001C33C8" w:rsidRDefault="001C33C8"/>
  <w:p w14:paraId="4DCA8871" w14:textId="77777777" w:rsidR="001C33C8" w:rsidRDefault="001C33C8"/>
  <w:p w14:paraId="7664C6BC" w14:textId="77777777" w:rsidR="001C33C8" w:rsidRDefault="001C33C8"/>
  <w:p w14:paraId="28C28B14" w14:textId="77777777" w:rsidR="001C33C8" w:rsidRDefault="001C33C8"/>
  <w:p w14:paraId="1F390310" w14:textId="77777777" w:rsidR="001C33C8" w:rsidRDefault="001C33C8"/>
  <w:p w14:paraId="06CE26D7" w14:textId="77777777" w:rsidR="001C33C8" w:rsidRDefault="001C33C8"/>
  <w:p w14:paraId="0ACFE8D4" w14:textId="77777777" w:rsidR="001C33C8" w:rsidRDefault="001C33C8"/>
  <w:p w14:paraId="2DC183F1" w14:textId="77777777" w:rsidR="001C33C8" w:rsidRDefault="001C33C8"/>
  <w:p w14:paraId="35035C8C" w14:textId="093754A3" w:rsidR="00D67117" w:rsidRDefault="00D6711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118496720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3148"/>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01EB"/>
    <w:rsid w:val="000C7749"/>
    <w:rsid w:val="000D087D"/>
    <w:rsid w:val="000D6FA5"/>
    <w:rsid w:val="000E01D9"/>
    <w:rsid w:val="000E1D69"/>
    <w:rsid w:val="000E1F6A"/>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C33C8"/>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54BE"/>
    <w:rsid w:val="002669A4"/>
    <w:rsid w:val="00273AFA"/>
    <w:rsid w:val="00296F75"/>
    <w:rsid w:val="002976D3"/>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4951"/>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06F"/>
    <w:rsid w:val="0051469E"/>
    <w:rsid w:val="00517E90"/>
    <w:rsid w:val="00521981"/>
    <w:rsid w:val="005250C4"/>
    <w:rsid w:val="00544C13"/>
    <w:rsid w:val="005460DA"/>
    <w:rsid w:val="0056683C"/>
    <w:rsid w:val="00567CEE"/>
    <w:rsid w:val="0057386D"/>
    <w:rsid w:val="0058272A"/>
    <w:rsid w:val="00582FF9"/>
    <w:rsid w:val="0059421B"/>
    <w:rsid w:val="00595E5D"/>
    <w:rsid w:val="005961BD"/>
    <w:rsid w:val="005968B1"/>
    <w:rsid w:val="005A0EF5"/>
    <w:rsid w:val="005A237C"/>
    <w:rsid w:val="005A26E3"/>
    <w:rsid w:val="005A45D0"/>
    <w:rsid w:val="005B0B31"/>
    <w:rsid w:val="005B64E3"/>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3A9C"/>
    <w:rsid w:val="00736F70"/>
    <w:rsid w:val="00744F32"/>
    <w:rsid w:val="007516EF"/>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0868"/>
    <w:rsid w:val="00804D15"/>
    <w:rsid w:val="008246D8"/>
    <w:rsid w:val="00824E97"/>
    <w:rsid w:val="00825259"/>
    <w:rsid w:val="00834DA8"/>
    <w:rsid w:val="00837192"/>
    <w:rsid w:val="00844973"/>
    <w:rsid w:val="0084698F"/>
    <w:rsid w:val="00846DA6"/>
    <w:rsid w:val="00846E9E"/>
    <w:rsid w:val="008505BC"/>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3DAD"/>
    <w:rsid w:val="008F459D"/>
    <w:rsid w:val="00900F06"/>
    <w:rsid w:val="00904A1E"/>
    <w:rsid w:val="0090685D"/>
    <w:rsid w:val="00913EC6"/>
    <w:rsid w:val="00914225"/>
    <w:rsid w:val="00914411"/>
    <w:rsid w:val="00914957"/>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8410E"/>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447B"/>
    <w:rsid w:val="00D86C13"/>
    <w:rsid w:val="00D95C05"/>
    <w:rsid w:val="00DA335B"/>
    <w:rsid w:val="00DA62BD"/>
    <w:rsid w:val="00DB3D87"/>
    <w:rsid w:val="00DC7252"/>
    <w:rsid w:val="00DD0C88"/>
    <w:rsid w:val="00DD3C69"/>
    <w:rsid w:val="00DD4AF2"/>
    <w:rsid w:val="00DD5F51"/>
    <w:rsid w:val="00DD739B"/>
    <w:rsid w:val="00DE2A58"/>
    <w:rsid w:val="00DF12F7"/>
    <w:rsid w:val="00DF422E"/>
    <w:rsid w:val="00E10391"/>
    <w:rsid w:val="00E20344"/>
    <w:rsid w:val="00E22922"/>
    <w:rsid w:val="00E2313F"/>
    <w:rsid w:val="00E23AB5"/>
    <w:rsid w:val="00E34E9E"/>
    <w:rsid w:val="00E5036A"/>
    <w:rsid w:val="00E543AD"/>
    <w:rsid w:val="00E54C89"/>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C1404"/>
    <w:rsid w:val="00EC148D"/>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0">
    <w:name w:val="Heading1"/>
    <w:basedOn w:val="Heading1"/>
    <w:qFormat/>
    <w:rsid w:val="008F3DAD"/>
    <w:pPr>
      <w:numPr>
        <w:numId w:val="0"/>
      </w:numPr>
      <w:spacing w:before="240" w:after="120"/>
    </w:pPr>
    <w:rPr>
      <w:color w:val="75C104"/>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Heading30">
    <w:name w:val="Heading3"/>
    <w:basedOn w:val="Normal"/>
    <w:link w:val="Heading3Char0"/>
    <w:qFormat/>
    <w:rsid w:val="00800868"/>
    <w:pPr>
      <w:spacing w:before="240"/>
    </w:pPr>
    <w:rPr>
      <w:b/>
      <w:i/>
      <w:color w:val="75C104" w:themeColor="accent6"/>
      <w:sz w:val="18"/>
    </w:rPr>
  </w:style>
  <w:style w:type="character" w:customStyle="1" w:styleId="Heading3Char0">
    <w:name w:val="Heading3 Char"/>
    <w:basedOn w:val="DefaultParagraphFont"/>
    <w:link w:val="Heading30"/>
    <w:rsid w:val="00800868"/>
    <w:rPr>
      <w:rFonts w:cs="Times New Roman (Body CS)"/>
      <w:b/>
      <w:i/>
      <w:color w:val="75C104" w:themeColor="accent6"/>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C148D"/>
    <w:rPr>
      <w:i/>
      <w:color w:val="1C5F69"/>
      <w:sz w:val="16"/>
    </w:rPr>
  </w:style>
  <w:style w:type="character" w:customStyle="1" w:styleId="NoteChar">
    <w:name w:val="Note Char"/>
    <w:basedOn w:val="DefaultParagraphFont"/>
    <w:link w:val="Note"/>
    <w:rsid w:val="00EC148D"/>
    <w:rPr>
      <w:rFonts w:cs="Times New Roman (Body CS)"/>
      <w:i/>
      <w:color w:val="1C5F69"/>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0">
    <w:name w:val="Heading2"/>
    <w:basedOn w:val="Heading2-nonumbers"/>
    <w:qFormat/>
    <w:rsid w:val="008F3DAD"/>
    <w:pPr>
      <w:spacing w:before="240"/>
    </w:pPr>
    <w:rPr>
      <w:color w:val="75C10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8a9f0cd0c98845759d1a26cf3fbbb59f">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7f24b8a4fb17a70aa8d1764ee6fc1fc2"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4.xml><?xml version="1.0" encoding="utf-8"?>
<ds:datastoreItem xmlns:ds="http://schemas.openxmlformats.org/officeDocument/2006/customXml" ds:itemID="{EDB76CF2-587B-4F5C-8907-141B87B14255}"/>
</file>

<file path=docProps/app.xml><?xml version="1.0" encoding="utf-8"?>
<Properties xmlns="http://schemas.openxmlformats.org/officeDocument/2006/extended-properties" xmlns:vt="http://schemas.openxmlformats.org/officeDocument/2006/docPropsVTypes">
  <Template>Normal.dotm</Template>
  <TotalTime>734</TotalTime>
  <Pages>2</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170</cp:revision>
  <cp:lastPrinted>2022-04-29T02:04:00Z</cp:lastPrinted>
  <dcterms:created xsi:type="dcterms:W3CDTF">2022-07-06T04:09:00Z</dcterms:created>
  <dcterms:modified xsi:type="dcterms:W3CDTF">2025-02-18T15:08:00Z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