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Murray Irrigation Reserve</w:t>
      </w:r>
      <w:r>
        <w:tab/>
      </w:r>
      <w:r>
        <w:t>31 August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MurrayIrrigation</w:t>
            </w:r>
          </w:p>
        </w:tc>
        <w:tc>
          <w:tcPr>
            <w:tcW w:type="dxa" w:w="1370"/>
          </w:tcPr>
          <w:p>
            <w:r>
              <w:rPr>
                <w:b/>
              </w:rPr>
              <w:t>4.39</w:t>
            </w:r>
          </w:p>
        </w:tc>
        <w:tc>
          <w:tcPr>
            <w:tcW w:type="dxa" w:w="1370"/>
          </w:tcPr>
          <w:p>
            <w:r>
              <w:rPr>
                <w:b/>
              </w:rPr>
              <w:t>6.2</w:t>
            </w:r>
          </w:p>
        </w:tc>
        <w:tc>
          <w:tcPr>
            <w:tcW w:type="dxa" w:w="1370"/>
          </w:tcPr>
          <w:p>
            <w:r>
              <w:rPr>
                <w:b/>
              </w:rPr>
              <w:t>11.64</w:t>
            </w:r>
          </w:p>
        </w:tc>
        <w:tc>
          <w:tcPr>
            <w:tcW w:type="dxa" w:w="1370"/>
          </w:tcPr>
          <w:p>
            <w:r>
              <w:rPr>
                <w:b/>
              </w:rPr>
              <w:t>12.46</w:t>
            </w:r>
          </w:p>
        </w:tc>
        <w:tc>
          <w:tcPr>
            <w:tcW w:type="dxa" w:w="1370"/>
          </w:tcPr>
          <w:p>
            <w:r>
              <w:rPr>
                <w:b/>
              </w:rPr>
              <w:t>11.57</w:t>
            </w:r>
          </w:p>
        </w:tc>
        <w:tc>
          <w:tcPr>
            <w:tcW w:type="dxa" w:w="1370"/>
          </w:tcPr>
          <w:p>
            <w:r>
              <w:rPr>
                <w:b/>
              </w:rPr>
              <w:t>12.38</w:t>
            </w:r>
          </w:p>
        </w:tc>
      </w:tr>
      <w:tr>
        <w:tc>
          <w:tcPr>
            <w:tcW w:type="dxa" w:w="2551"/>
          </w:tcPr>
          <w:p>
            <w:r>
              <w:t>Peer Group</w:t>
            </w:r>
          </w:p>
        </w:tc>
        <w:tc>
          <w:tcPr>
            <w:tcW w:type="dxa" w:w="1370"/>
          </w:tcPr>
          <w:p>
            <w:r>
              <w:t>4.13</w:t>
            </w:r>
          </w:p>
        </w:tc>
        <w:tc>
          <w:tcPr>
            <w:tcW w:type="dxa" w:w="1370"/>
          </w:tcPr>
          <w:p>
            <w:r>
              <w:t>5.48</w:t>
            </w:r>
          </w:p>
        </w:tc>
        <w:tc>
          <w:tcPr>
            <w:tcW w:type="dxa" w:w="1370"/>
          </w:tcPr>
          <w:p>
            <w:r>
              <w:t>10.15</w:t>
            </w:r>
          </w:p>
        </w:tc>
        <w:tc>
          <w:tcPr>
            <w:tcW w:type="dxa" w:w="1370"/>
          </w:tcPr>
          <w:p>
            <w:r>
              <w:t>10.73</w:t>
            </w:r>
          </w:p>
        </w:tc>
        <w:tc>
          <w:tcPr>
            <w:tcW w:type="dxa" w:w="1370"/>
          </w:tcPr>
          <w:p>
            <w:r>
              <w:t>9.7</w:t>
            </w:r>
          </w:p>
        </w:tc>
        <w:tc>
          <w:tcPr>
            <w:tcW w:type="dxa" w:w="1370"/>
          </w:tcPr>
          <w:p>
            <w:r>
              <w:t>10.2</w:t>
            </w:r>
          </w:p>
        </w:tc>
      </w:tr>
      <w:tr>
        <w:tc>
          <w:tcPr>
            <w:tcW w:type="dxa" w:w="2551"/>
          </w:tcPr>
          <w:p>
            <w:r>
              <w:t>Inflation</w:t>
            </w:r>
          </w:p>
        </w:tc>
        <w:tc>
          <w:tcPr>
            <w:tcW w:type="dxa" w:w="1370"/>
          </w:tcPr>
          <w:p>
            <w:r>
              <w:t>-0.38</w:t>
            </w:r>
          </w:p>
        </w:tc>
        <w:tc>
          <w:tcPr>
            <w:tcW w:type="dxa" w:w="1370"/>
          </w:tcPr>
          <w:p>
            <w:r>
              <w:t>0.74</w:t>
            </w:r>
          </w:p>
        </w:tc>
        <w:tc>
          <w:tcPr>
            <w:tcW w:type="dxa" w:w="1370"/>
          </w:tcPr>
          <w:p>
            <w:r>
              <w:t>1.9</w:t>
            </w:r>
          </w:p>
        </w:tc>
        <w:tc>
          <w:tcPr>
            <w:tcW w:type="dxa" w:w="1370"/>
          </w:tcPr>
          <w:p>
            <w:r>
              <w:t>2.28</w:t>
            </w:r>
          </w:p>
        </w:tc>
        <w:tc>
          <w:tcPr>
            <w:tcW w:type="dxa" w:w="1370"/>
          </w:tcPr>
          <w:p>
            <w:r>
              <w:t>3.24</w:t>
            </w:r>
          </w:p>
        </w:tc>
        <w:tc>
          <w:tcPr>
            <w:tcW w:type="dxa" w:w="1370"/>
          </w:tcPr>
          <w:p>
            <w:r>
              <w:t>3.29</w:t>
            </w:r>
          </w:p>
        </w:tc>
      </w:tr>
      <w:tr>
        <w:tc>
          <w:tcPr>
            <w:tcW w:type="dxa" w:w="2551"/>
          </w:tcPr>
          <w:p>
            <w:r>
              <w:t>Outperformance vs Peers</w:t>
            </w:r>
          </w:p>
        </w:tc>
        <w:tc>
          <w:tcPr>
            <w:tcW w:type="dxa" w:w="1370"/>
          </w:tcPr>
          <w:p>
            <w:r>
              <w:t>0.26</w:t>
            </w:r>
          </w:p>
        </w:tc>
        <w:tc>
          <w:tcPr>
            <w:tcW w:type="dxa" w:w="1370"/>
          </w:tcPr>
          <w:p>
            <w:r>
              <w:t>0.72</w:t>
            </w:r>
          </w:p>
        </w:tc>
        <w:tc>
          <w:tcPr>
            <w:tcW w:type="dxa" w:w="1370"/>
          </w:tcPr>
          <w:p>
            <w:r>
              <w:t>1.5</w:t>
            </w:r>
          </w:p>
        </w:tc>
        <w:tc>
          <w:tcPr>
            <w:tcW w:type="dxa" w:w="1370"/>
          </w:tcPr>
          <w:p>
            <w:r>
              <w:t>1.73</w:t>
            </w:r>
          </w:p>
        </w:tc>
        <w:tc>
          <w:tcPr>
            <w:tcW w:type="dxa" w:w="1370"/>
          </w:tcPr>
          <w:p>
            <w:r>
              <w:t>1.87</w:t>
            </w:r>
          </w:p>
        </w:tc>
        <w:tc>
          <w:tcPr>
            <w:tcW w:type="dxa" w:w="1370"/>
          </w:tcPr>
          <w:p>
            <w:r>
              <w:t>2.18</w:t>
            </w:r>
          </w:p>
        </w:tc>
      </w:tr>
      <w:tr>
        <w:tc>
          <w:tcPr>
            <w:tcW w:type="dxa" w:w="2551"/>
          </w:tcPr>
          <w:p>
            <w:r>
              <w:t>Outperformance vs Inflation</w:t>
            </w:r>
          </w:p>
        </w:tc>
        <w:tc>
          <w:tcPr>
            <w:tcW w:type="dxa" w:w="1370"/>
          </w:tcPr>
          <w:p>
            <w:r>
              <w:t>4.78</w:t>
            </w:r>
          </w:p>
        </w:tc>
        <w:tc>
          <w:tcPr>
            <w:tcW w:type="dxa" w:w="1370"/>
          </w:tcPr>
          <w:p>
            <w:r>
              <w:t>5.46</w:t>
            </w:r>
          </w:p>
        </w:tc>
        <w:tc>
          <w:tcPr>
            <w:tcW w:type="dxa" w:w="1370"/>
          </w:tcPr>
          <w:p>
            <w:r>
              <w:t>9.74</w:t>
            </w:r>
          </w:p>
        </w:tc>
        <w:tc>
          <w:tcPr>
            <w:tcW w:type="dxa" w:w="1370"/>
          </w:tcPr>
          <w:p>
            <w:r>
              <w:t>10.18</w:t>
            </w:r>
          </w:p>
        </w:tc>
        <w:tc>
          <w:tcPr>
            <w:tcW w:type="dxa" w:w="1370"/>
          </w:tcPr>
          <w:p>
            <w:r>
              <w:t>8.33</w:t>
            </w:r>
          </w:p>
        </w:tc>
        <w:tc>
          <w:tcPr>
            <w:tcW w:type="dxa" w:w="1370"/>
          </w:tcPr>
          <w:p>
            <w:r>
              <w:t>9.09</w:t>
            </w:r>
          </w:p>
        </w:tc>
      </w:tr>
    </w:tbl>
    <w:p>
      <w:pPr>
        <w:pStyle w:val="Note"/>
      </w:pPr>
      <w:r>
        <w:t>Inception Date: 30 June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MurrayIrrigation</w:t>
            </w:r>
          </w:p>
        </w:tc>
      </w:tr>
      <w:tr>
        <w:tc>
          <w:tcPr>
            <w:tcW w:type="dxa" w:w="2268"/>
          </w:tcPr>
          <w:p>
            <w:r>
              <w:t>Benchmark</w:t>
            </w:r>
          </w:p>
        </w:tc>
        <w:tc>
          <w:tcPr>
            <w:tcW w:type="dxa" w:w="3118"/>
          </w:tcPr>
          <w:p>
            <w:r>
              <w:t>nan</w:t>
            </w:r>
          </w:p>
        </w:tc>
      </w:tr>
      <w:tr>
        <w:tc>
          <w:tcPr>
            <w:tcW w:type="dxa" w:w="2268"/>
          </w:tcPr>
          <w:p>
            <w:r>
              <w:t>Inception Date</w:t>
            </w:r>
          </w:p>
        </w:tc>
        <w:tc>
          <w:tcPr>
            <w:tcW w:type="dxa" w:w="3118"/>
          </w:tcPr>
          <w:p>
            <w:r>
              <w:t>30 June 2022</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14.66</w:t>
            </w:r>
          </w:p>
        </w:tc>
        <w:tc>
          <w:tcPr>
            <w:tcW w:type="dxa" w:w="1559"/>
          </w:tcPr>
          <w:p>
            <w:r>
              <w:t>14.34</w:t>
            </w:r>
          </w:p>
        </w:tc>
      </w:tr>
      <w:tr>
        <w:tc>
          <w:tcPr>
            <w:tcW w:type="dxa" w:w="1984"/>
          </w:tcPr>
          <w:p>
            <w:r>
              <w:t>International Shares</w:t>
            </w:r>
          </w:p>
        </w:tc>
        <w:tc>
          <w:tcPr>
            <w:tcW w:type="dxa" w:w="1559"/>
          </w:tcPr>
          <w:p>
            <w:r>
              <w:t>18.96</w:t>
            </w:r>
          </w:p>
        </w:tc>
        <w:tc>
          <w:tcPr>
            <w:tcW w:type="dxa" w:w="1559"/>
          </w:tcPr>
          <w:p>
            <w:r>
              <w:t>16.69</w:t>
            </w:r>
          </w:p>
        </w:tc>
      </w:tr>
      <w:tr>
        <w:tc>
          <w:tcPr>
            <w:tcW w:type="dxa" w:w="1984"/>
          </w:tcPr>
          <w:p>
            <w:r>
              <w:t>Real Assets</w:t>
            </w:r>
          </w:p>
        </w:tc>
        <w:tc>
          <w:tcPr>
            <w:tcW w:type="dxa" w:w="1559"/>
          </w:tcPr>
          <w:p>
            <w:r>
              <w:t>12.26</w:t>
            </w:r>
          </w:p>
        </w:tc>
        <w:tc>
          <w:tcPr>
            <w:tcW w:type="dxa" w:w="1559"/>
          </w:tcPr>
          <w:p>
            <w:r>
              <w:t>17.5</w:t>
            </w:r>
          </w:p>
        </w:tc>
      </w:tr>
      <w:tr>
        <w:tc>
          <w:tcPr>
            <w:tcW w:type="dxa" w:w="1984"/>
          </w:tcPr>
          <w:p>
            <w:r>
              <w:t>Alternatives</w:t>
            </w:r>
          </w:p>
        </w:tc>
        <w:tc>
          <w:tcPr>
            <w:tcW w:type="dxa" w:w="1559"/>
          </w:tcPr>
          <w:p>
            <w:r>
              <w:t>0.0</w:t>
            </w:r>
          </w:p>
        </w:tc>
        <w:tc>
          <w:tcPr>
            <w:tcW w:type="dxa" w:w="1559"/>
          </w:tcPr>
          <w:p>
            <w:r>
              <w:t>0.0</w:t>
            </w:r>
          </w:p>
        </w:tc>
      </w:tr>
      <w:tr>
        <w:tc>
          <w:tcPr>
            <w:tcW w:type="dxa" w:w="1984"/>
          </w:tcPr>
          <w:p>
            <w:r>
              <w:t>Long Duration</w:t>
            </w:r>
          </w:p>
        </w:tc>
        <w:tc>
          <w:tcPr>
            <w:tcW w:type="dxa" w:w="1559"/>
          </w:tcPr>
          <w:p>
            <w:r>
              <w:t>4.33</w:t>
            </w:r>
          </w:p>
        </w:tc>
        <w:tc>
          <w:tcPr>
            <w:tcW w:type="dxa" w:w="1559"/>
          </w:tcPr>
          <w:p>
            <w:r>
              <w:t>4.69</w:t>
            </w:r>
          </w:p>
        </w:tc>
      </w:tr>
      <w:tr>
        <w:tc>
          <w:tcPr>
            <w:tcW w:type="dxa" w:w="1984"/>
          </w:tcPr>
          <w:p>
            <w:r>
              <w:t>Floating Rate</w:t>
            </w:r>
          </w:p>
        </w:tc>
        <w:tc>
          <w:tcPr>
            <w:tcW w:type="dxa" w:w="1559"/>
          </w:tcPr>
          <w:p>
            <w:r>
              <w:t>0.0</w:t>
            </w:r>
          </w:p>
        </w:tc>
        <w:tc>
          <w:tcPr>
            <w:tcW w:type="dxa" w:w="1559"/>
          </w:tcPr>
          <w:p>
            <w:r>
              <w:t>0.0</w:t>
            </w:r>
          </w:p>
        </w:tc>
      </w:tr>
      <w:tr>
        <w:tc>
          <w:tcPr>
            <w:tcW w:type="dxa" w:w="1984"/>
          </w:tcPr>
          <w:p>
            <w:r>
              <w:t>Cash</w:t>
            </w:r>
          </w:p>
        </w:tc>
        <w:tc>
          <w:tcPr>
            <w:tcW w:type="dxa" w:w="1559"/>
          </w:tcPr>
          <w:p>
            <w:r>
              <w:t>4.25</w:t>
            </w:r>
          </w:p>
        </w:tc>
        <w:tc>
          <w:tcPr>
            <w:tcW w:type="dxa" w:w="1559"/>
          </w:tcPr>
          <w:p>
            <w:r>
              <w:t>4.31</w:t>
            </w:r>
          </w:p>
        </w:tc>
      </w:tr>
    </w:tbl>
    <w:p>
      <w:pPr>
        <w:pStyle w:val="Note"/>
      </w:pPr>
      <w:r>
        <w:t>Inception Date: 30 June 2022</w:t>
      </w:r>
    </w:p>
    <w:p>
      <w:pPr>
        <w:pStyle w:val="Heading30"/>
      </w:pPr>
      <w:r>
        <w:t>Portfolio Construction</w:t>
      </w:r>
    </w:p>
    <w:p>
      <w:r>
        <w:drawing>
          <wp:inline xmlns:a="http://schemas.openxmlformats.org/drawingml/2006/main" xmlns:pic="http://schemas.openxmlformats.org/drawingml/2006/picture">
            <wp:extent cx="3240000" cy="270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70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Macq True Aus Eq</w:t>
            </w:r>
          </w:p>
        </w:tc>
        <w:tc>
          <w:tcPr>
            <w:tcW w:type="dxa" w:w="1417"/>
          </w:tcPr>
          <w:p>
            <w:r>
              <w:t>14.92</w:t>
            </w:r>
          </w:p>
        </w:tc>
        <w:tc>
          <w:tcPr>
            <w:tcW w:type="dxa" w:w="1417"/>
          </w:tcPr>
          <w:p>
            <w:r>
              <w:t>14.77</w:t>
            </w:r>
          </w:p>
        </w:tc>
      </w:tr>
      <w:tr>
        <w:tc>
          <w:tcPr>
            <w:tcW w:type="dxa" w:w="2268"/>
          </w:tcPr>
          <w:p>
            <w:r>
              <w:rPr>
                <w:b/>
              </w:rPr>
              <w:t>BM: Australian Shares</w:t>
            </w:r>
          </w:p>
        </w:tc>
        <w:tc>
          <w:tcPr>
            <w:tcW w:type="dxa" w:w="1417"/>
          </w:tcPr>
          <w:p>
            <w:r>
              <w:rPr>
                <w:b/>
              </w:rPr>
              <w:t>14.66</w:t>
            </w:r>
          </w:p>
        </w:tc>
        <w:tc>
          <w:tcPr>
            <w:tcW w:type="dxa" w:w="1417"/>
          </w:tcPr>
          <w:p>
            <w:r>
              <w:rPr>
                <w:b/>
              </w:rPr>
              <w:t>14.68</w:t>
            </w:r>
          </w:p>
        </w:tc>
      </w:tr>
      <w:tr>
        <w:tc>
          <w:tcPr>
            <w:tcW w:type="dxa" w:w="2268"/>
          </w:tcPr>
          <w:p>
            <w:r>
              <w:t>Macq True Int Eq</w:t>
            </w:r>
          </w:p>
        </w:tc>
        <w:tc>
          <w:tcPr>
            <w:tcW w:type="dxa" w:w="1417"/>
          </w:tcPr>
          <w:p>
            <w:r>
              <w:t>19.92</w:t>
            </w:r>
          </w:p>
        </w:tc>
        <w:tc>
          <w:tcPr>
            <w:tcW w:type="dxa" w:w="1417"/>
          </w:tcPr>
          <w:p>
            <w:r>
              <w:t>19.33</w:t>
            </w:r>
          </w:p>
        </w:tc>
      </w:tr>
      <w:tr>
        <w:tc>
          <w:tcPr>
            <w:tcW w:type="dxa" w:w="2268"/>
          </w:tcPr>
          <w:p>
            <w:r>
              <w:t>Macq True EM</w:t>
            </w:r>
          </w:p>
        </w:tc>
        <w:tc>
          <w:tcPr>
            <w:tcW w:type="dxa" w:w="1417"/>
          </w:tcPr>
          <w:p>
            <w:r>
              <w:t>21.01</w:t>
            </w:r>
          </w:p>
        </w:tc>
        <w:tc>
          <w:tcPr>
            <w:tcW w:type="dxa" w:w="1417"/>
          </w:tcPr>
          <w:p>
            <w:r>
              <w:t>15.0</w:t>
            </w:r>
          </w:p>
        </w:tc>
      </w:tr>
      <w:tr>
        <w:tc>
          <w:tcPr>
            <w:tcW w:type="dxa" w:w="2268"/>
          </w:tcPr>
          <w:p>
            <w:r>
              <w:rPr>
                <w:b/>
              </w:rPr>
              <w:t>BM: International Shares</w:t>
            </w:r>
          </w:p>
        </w:tc>
        <w:tc>
          <w:tcPr>
            <w:tcW w:type="dxa" w:w="1417"/>
          </w:tcPr>
          <w:p>
            <w:r>
              <w:rPr>
                <w:b/>
              </w:rPr>
              <w:t>20.47</w:t>
            </w:r>
          </w:p>
        </w:tc>
        <w:tc>
          <w:tcPr>
            <w:tcW w:type="dxa" w:w="1417"/>
          </w:tcPr>
          <w:p>
            <w:r>
              <w:rPr>
                <w:b/>
              </w:rPr>
              <w:t>18.75</w:t>
            </w:r>
          </w:p>
        </w:tc>
      </w:tr>
      <w:tr>
        <w:tc>
          <w:tcPr>
            <w:tcW w:type="dxa" w:w="2268"/>
          </w:tcPr>
          <w:p>
            <w:r>
              <w:t>Macq True AREIT</w:t>
            </w:r>
          </w:p>
        </w:tc>
        <w:tc>
          <w:tcPr>
            <w:tcW w:type="dxa" w:w="1417"/>
          </w:tcPr>
          <w:p>
            <w:r>
              <w:t>14.49</w:t>
            </w:r>
          </w:p>
        </w:tc>
        <w:tc>
          <w:tcPr>
            <w:tcW w:type="dxa" w:w="1417"/>
          </w:tcPr>
          <w:p>
            <w:r>
              <w:t>20.12</w:t>
            </w:r>
          </w:p>
        </w:tc>
      </w:tr>
      <w:tr>
        <w:tc>
          <w:tcPr>
            <w:tcW w:type="dxa" w:w="2268"/>
          </w:tcPr>
          <w:p>
            <w:r>
              <w:rPr>
                <w:b/>
              </w:rPr>
              <w:t>BM: Real Assets</w:t>
            </w:r>
          </w:p>
        </w:tc>
        <w:tc>
          <w:tcPr>
            <w:tcW w:type="dxa" w:w="1417"/>
          </w:tcPr>
          <w:p>
            <w:r>
              <w:rPr>
                <w:b/>
              </w:rPr>
              <w:t>5.5</w:t>
            </w:r>
          </w:p>
        </w:tc>
        <w:tc>
          <w:tcPr>
            <w:tcW w:type="dxa" w:w="1417"/>
          </w:tcPr>
          <w:p>
            <w:r>
              <w:rPr>
                <w:b/>
              </w:rPr>
              <w:t>9.96</w:t>
            </w:r>
          </w:p>
        </w:tc>
      </w:tr>
      <w:tr>
        <w:tc>
          <w:tcPr>
            <w:tcW w:type="dxa" w:w="2268"/>
          </w:tcPr>
          <w:p>
            <w:r>
              <w:t>Macq True Aus FI</w:t>
            </w:r>
          </w:p>
        </w:tc>
        <w:tc>
          <w:tcPr>
            <w:tcW w:type="dxa" w:w="1417"/>
          </w:tcPr>
          <w:p>
            <w:r>
              <w:t>4.31</w:t>
            </w:r>
          </w:p>
        </w:tc>
        <w:tc>
          <w:tcPr>
            <w:tcW w:type="dxa" w:w="1417"/>
          </w:tcPr>
          <w:p>
            <w:r>
              <w:t>4.72</w:t>
            </w:r>
          </w:p>
        </w:tc>
      </w:tr>
      <w:tr>
        <w:tc>
          <w:tcPr>
            <w:tcW w:type="dxa" w:w="2268"/>
          </w:tcPr>
          <w:p>
            <w:r>
              <w:t>Macq True Glb Bonds</w:t>
            </w:r>
          </w:p>
        </w:tc>
        <w:tc>
          <w:tcPr>
            <w:tcW w:type="dxa" w:w="1417"/>
          </w:tcPr>
          <w:p>
            <w:r>
              <w:t>3.53</w:t>
            </w:r>
          </w:p>
        </w:tc>
        <w:tc>
          <w:tcPr>
            <w:tcW w:type="dxa" w:w="1417"/>
          </w:tcPr>
          <w:p>
            <w:r>
              <w:t>4.07</w:t>
            </w:r>
          </w:p>
        </w:tc>
      </w:tr>
      <w:tr>
        <w:tc>
          <w:tcPr>
            <w:tcW w:type="dxa" w:w="2268"/>
          </w:tcPr>
          <w:p>
            <w:r>
              <w:rPr>
                <w:b/>
              </w:rPr>
              <w:t>BM: Duration</w:t>
            </w:r>
          </w:p>
        </w:tc>
        <w:tc>
          <w:tcPr>
            <w:tcW w:type="dxa" w:w="1417"/>
          </w:tcPr>
          <w:p>
            <w:r>
              <w:rPr>
                <w:b/>
              </w:rPr>
              <w:t>3.46</w:t>
            </w:r>
          </w:p>
        </w:tc>
        <w:tc>
          <w:tcPr>
            <w:tcW w:type="dxa" w:w="1417"/>
          </w:tcPr>
          <w:p>
            <w:r>
              <w:rPr>
                <w:b/>
              </w:rPr>
              <w:t>4.4</w:t>
            </w:r>
          </w:p>
        </w:tc>
      </w:tr>
      <w:tr>
        <w:tc>
          <w:tcPr>
            <w:tcW w:type="dxa" w:w="2268"/>
          </w:tcPr>
          <w:p>
            <w:r>
              <w:t>Macq True Cash</w:t>
            </w:r>
          </w:p>
        </w:tc>
        <w:tc>
          <w:tcPr>
            <w:tcW w:type="dxa" w:w="1417"/>
          </w:tcPr>
          <w:p>
            <w:r>
              <w:t>4.26</w:t>
            </w:r>
          </w:p>
        </w:tc>
        <w:tc>
          <w:tcPr>
            <w:tcW w:type="dxa" w:w="1417"/>
          </w:tcPr>
          <w:p>
            <w:r>
              <w:t>4.31</w:t>
            </w:r>
          </w:p>
        </w:tc>
      </w:tr>
    </w:tbl>
    <w:p>
      <w:pPr>
        <w:pStyle w:val="Note"/>
      </w:pPr>
      <w:r>
        <w:t>Inception Date: 30 June 2022</w:t>
      </w:r>
    </w:p>
    <w:p>
      <w:pPr>
        <w:pStyle w:val="BodyStyle"/>
      </w:pPr>
      <w:r>
        <w:t>Underlying investment manager returns are shown after fees and before tax</w:t>
      </w:r>
    </w:p>
    <w:br w:type="column"/>
    <w:p>
      <w:pPr>
        <w:pStyle w:val="Heading20"/>
      </w:pPr>
      <w:r>
        <w:t>Market Update</w:t>
      </w:r>
    </w:p>
    <w:p>
      <w:pPr>
        <w:pStyle w:val="BodyStyle"/>
      </w:pPr>
      <w:r>
        <w:t>August delivered broad gains across global equities and bonds, driven by actual and expected rate cuts.</w:t>
        <w:br/>
        <w:br/>
        <w:t>9 of 11 S&amp;P/ASX 200 sectors advanced, with Materials and Consumer Discretionary leading gains. Meanwhile Health Care fell 13% due to a CSL sell-off following its spinoff announcement. Information Technology remained under pressure.</w:t>
        <w:br/>
        <w:br/>
        <w:t>Value, Equal Weight, and High Dividend each rose 6%. Growth lagged as the weakest performer year-to-date.</w:t>
        <w:br/>
        <w:br/>
        <w:t>Chinese equities outperformed, as onshore markets rebounded and narrowed the gap with offshore stocks.</w:t>
        <w:br/>
        <w:br/>
        <w:t>U.S. equities recorded a fourth consecutive month of gains, with the S&amp;P 500 rising 2% in August, despite a sharp final-day sell-off. Market sentiment was supported by optimism around potential Federal Reserve rate cuts and continued strength in Big Tech.</w:t>
        <w:br/>
        <w:br/>
        <w:t>The rally broadened across market segments, with mid- and small-cap stocks outperforming large caps.</w:t>
        <w:br/>
        <w:br/>
        <w:t>Most sectors posted positive returns, led by Materials and Health Care; Health Care recovered losses from July. Utilities was the only sector to decline.</w:t>
        <w:br/>
        <w:br/>
        <w:t>European equities gained for the month, extending their positive run for the quarter. Sector leaders were Health Care (+4%+) and Consumer Staples (+3%+). Information Technology, Utilities, and Industrials posted modest losses of under 2%, not enough to offset the index’s overall gains.</w:t>
        <w:br/>
        <w:br/>
        <w:t>US fixed income indices all posted gains amid fluctuating yields and shifting rate expectations.</w:t>
        <w:br/>
        <w:br/>
        <w:t>The Reserve Bank of Australia and Reserve Bank of New Zealand each reduced key rates by 25bps..</w:t>
        <w:br/>
        <w:br/>
        <w:t>Commodities participated in the rally, led by Livestock. Precious Metals strengthened, with Gold reaching another record high, driven by renewed safe-haven demand.</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