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Rajomon Growth Fund</w:t>
      </w:r>
      <w:r>
        <w:tab/>
      </w:r>
      <w:r>
        <w:t>30 September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RAJOMON90</w:t>
            </w:r>
          </w:p>
        </w:tc>
        <w:tc>
          <w:tcPr>
            <w:tcW w:type="dxa" w:w="2055"/>
          </w:tcPr>
          <w:p>
            <w:r>
              <w:rPr>
                <w:b/>
              </w:rPr>
              <w:t>4.01</w:t>
            </w:r>
          </w:p>
        </w:tc>
        <w:tc>
          <w:tcPr>
            <w:tcW w:type="dxa" w:w="2055"/>
          </w:tcPr>
          <w:p>
            <w:r>
              <w:rPr>
                <w:b/>
              </w:rPr>
              <w:t>8.8</w:t>
            </w:r>
          </w:p>
        </w:tc>
        <w:tc>
          <w:tcPr>
            <w:tcW w:type="dxa" w:w="2055"/>
          </w:tcPr>
          <w:p>
            <w:r>
              <w:rPr>
                <w:b/>
              </w:rPr>
              <w:t>9.08</w:t>
            </w:r>
          </w:p>
        </w:tc>
        <w:tc>
          <w:tcPr>
            <w:tcW w:type="dxa" w:w="2055"/>
          </w:tcPr>
          <w:p>
            <w:r>
              <w:rPr>
                <w:b/>
              </w:rPr>
              <w:t>15.67</w:t>
            </w:r>
          </w:p>
        </w:tc>
      </w:tr>
      <w:tr>
        <w:tc>
          <w:tcPr>
            <w:tcW w:type="dxa" w:w="2551"/>
          </w:tcPr>
          <w:p>
            <w:r>
              <w:t>Peer Group</w:t>
            </w:r>
          </w:p>
        </w:tc>
        <w:tc>
          <w:tcPr>
            <w:tcW w:type="dxa" w:w="2055"/>
          </w:tcPr>
          <w:p>
            <w:r>
              <w:t>3.28</w:t>
            </w:r>
          </w:p>
        </w:tc>
        <w:tc>
          <w:tcPr>
            <w:tcW w:type="dxa" w:w="2055"/>
          </w:tcPr>
          <w:p>
            <w:r>
              <w:t>8.52</w:t>
            </w:r>
          </w:p>
        </w:tc>
        <w:tc>
          <w:tcPr>
            <w:tcW w:type="dxa" w:w="2055"/>
          </w:tcPr>
          <w:p>
            <w:r>
              <w:t>9.01</w:t>
            </w:r>
          </w:p>
        </w:tc>
        <w:tc>
          <w:tcPr>
            <w:tcW w:type="dxa" w:w="2055"/>
          </w:tcPr>
          <w:p>
            <w:r>
              <w:t>12.55</w:t>
            </w:r>
          </w:p>
        </w:tc>
      </w:tr>
      <w:tr>
        <w:tc>
          <w:tcPr>
            <w:tcW w:type="dxa" w:w="2551"/>
          </w:tcPr>
          <w:p>
            <w:r>
              <w:t>Inflation</w:t>
            </w:r>
          </w:p>
        </w:tc>
        <w:tc>
          <w:tcPr>
            <w:tcW w:type="dxa" w:w="2055"/>
          </w:tcPr>
          <w:p>
            <w:r>
              <w:t>-0.01</w:t>
            </w:r>
          </w:p>
        </w:tc>
        <w:tc>
          <w:tcPr>
            <w:tcW w:type="dxa" w:w="2055"/>
          </w:tcPr>
          <w:p>
            <w:r>
              <w:t>1.34</w:t>
            </w:r>
          </w:p>
        </w:tc>
        <w:tc>
          <w:tcPr>
            <w:tcW w:type="dxa" w:w="2055"/>
          </w:tcPr>
          <w:p>
            <w:r>
              <w:t>2.05</w:t>
            </w:r>
          </w:p>
        </w:tc>
        <w:tc>
          <w:tcPr>
            <w:tcW w:type="dxa" w:w="2055"/>
          </w:tcPr>
          <w:p>
            <w:r>
              <w:t>2.08</w:t>
            </w:r>
          </w:p>
        </w:tc>
      </w:tr>
      <w:tr>
        <w:tc>
          <w:tcPr>
            <w:tcW w:type="dxa" w:w="2551"/>
          </w:tcPr>
          <w:p>
            <w:r>
              <w:t>Outperformance vs Peers</w:t>
            </w:r>
          </w:p>
        </w:tc>
        <w:tc>
          <w:tcPr>
            <w:tcW w:type="dxa" w:w="2055"/>
          </w:tcPr>
          <w:p>
            <w:r>
              <w:t>0.73</w:t>
            </w:r>
          </w:p>
        </w:tc>
        <w:tc>
          <w:tcPr>
            <w:tcW w:type="dxa" w:w="2055"/>
          </w:tcPr>
          <w:p>
            <w:r>
              <w:t>0.27</w:t>
            </w:r>
          </w:p>
        </w:tc>
        <w:tc>
          <w:tcPr>
            <w:tcW w:type="dxa" w:w="2055"/>
          </w:tcPr>
          <w:p>
            <w:r>
              <w:t>0.06</w:t>
            </w:r>
          </w:p>
        </w:tc>
        <w:tc>
          <w:tcPr>
            <w:tcW w:type="dxa" w:w="2055"/>
          </w:tcPr>
          <w:p>
            <w:r>
              <w:t>3.13</w:t>
            </w:r>
          </w:p>
        </w:tc>
      </w:tr>
      <w:tr>
        <w:tc>
          <w:tcPr>
            <w:tcW w:type="dxa" w:w="2551"/>
          </w:tcPr>
          <w:p>
            <w:r>
              <w:t>Outperformance vs Inflation</w:t>
            </w:r>
          </w:p>
        </w:tc>
        <w:tc>
          <w:tcPr>
            <w:tcW w:type="dxa" w:w="2055"/>
          </w:tcPr>
          <w:p>
            <w:r>
              <w:t>4.01</w:t>
            </w:r>
          </w:p>
        </w:tc>
        <w:tc>
          <w:tcPr>
            <w:tcW w:type="dxa" w:w="2055"/>
          </w:tcPr>
          <w:p>
            <w:r>
              <w:t>7.45</w:t>
            </w:r>
          </w:p>
        </w:tc>
        <w:tc>
          <w:tcPr>
            <w:tcW w:type="dxa" w:w="2055"/>
          </w:tcPr>
          <w:p>
            <w:r>
              <w:t>7.03</w:t>
            </w:r>
          </w:p>
        </w:tc>
        <w:tc>
          <w:tcPr>
            <w:tcW w:type="dxa" w:w="2055"/>
          </w:tcPr>
          <w:p>
            <w:r>
              <w:t>13.6</w:t>
            </w:r>
          </w:p>
        </w:tc>
      </w:tr>
    </w:tbl>
    <w:p>
      <w:pPr>
        <w:pStyle w:val="Note"/>
      </w:pPr>
      <w:r>
        <w:t>Inception Date: 30 September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The Fund aims to achieve a target return of 8% per annum, calculated on a pre-tax basis and net of all fees and expenses, over rolling three-year periods (the Target Return). For comparative purposes, the Fund also seeks to outperform the FE AMI Mixed Asset – Growth Peer Index over equivalent rolling three-year periods.</w:t>
      </w:r>
    </w:p>
    <w:p>
      <w:pPr>
        <w:pStyle w:val="Heading20"/>
      </w:pPr>
      <w:r>
        <w:t>Strategy Overview</w:t>
      </w:r>
    </w:p>
    <w:p>
      <w:pPr>
        <w:pStyle w:val="BodyStyle"/>
      </w:pPr>
      <w:r>
        <w:t xml:space="preserve">Rajomon Portfolio is an open-ended unlisted registered managed investment scheme structured as a unit trust. The Fund is an all-inclusive diversified, multi-asset offering that will make investments into a diversified portfolio of listed equities and unlisted managed investments. This portfolio is made up of 90% growth assets, and 10% defensive assets and uses a combination of passive ETFs and active managers. Asset classes include Australian Shares, Global Shares, Alternatives, Floating Rate, Long Duration, Real Assets and Cash. </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Rajomon</w:t>
            </w:r>
          </w:p>
        </w:tc>
      </w:tr>
      <w:tr>
        <w:tc>
          <w:tcPr>
            <w:tcW w:type="dxa" w:w="2268"/>
          </w:tcPr>
          <w:p>
            <w:r>
              <w:t>Benchmark</w:t>
            </w:r>
          </w:p>
        </w:tc>
        <w:tc>
          <w:tcPr>
            <w:tcW w:type="dxa" w:w="3118"/>
          </w:tcPr>
          <w:p>
            <w:r>
              <w:t>Absolute Return above 8% p.a.</w:t>
            </w:r>
          </w:p>
        </w:tc>
      </w:tr>
      <w:tr>
        <w:tc>
          <w:tcPr>
            <w:tcW w:type="dxa" w:w="2268"/>
          </w:tcPr>
          <w:p>
            <w:r>
              <w:t>Inception Date</w:t>
            </w:r>
          </w:p>
        </w:tc>
        <w:tc>
          <w:tcPr>
            <w:tcW w:type="dxa" w:w="3118"/>
          </w:tcPr>
          <w:p>
            <w:r>
              <w:t>30 September 2023</w:t>
            </w:r>
          </w:p>
        </w:tc>
      </w:tr>
      <w:tr>
        <w:tc>
          <w:tcPr>
            <w:tcW w:type="dxa" w:w="2268"/>
          </w:tcPr>
          <w:p>
            <w:r>
              <w:t>Investment Horizon</w:t>
            </w:r>
          </w:p>
        </w:tc>
        <w:tc>
          <w:tcPr>
            <w:tcW w:type="dxa" w:w="3118"/>
          </w:tcPr>
          <w:p>
            <w:r>
              <w:t>8 Years</w:t>
            </w:r>
          </w:p>
        </w:tc>
      </w:tr>
      <w:tr>
        <w:tc>
          <w:tcPr>
            <w:tcW w:type="dxa" w:w="2268"/>
          </w:tcPr>
          <w:p>
            <w:r>
              <w:t>Risk Level (SRM)</w:t>
            </w:r>
          </w:p>
        </w:tc>
        <w:tc>
          <w:tcPr>
            <w:tcW w:type="dxa" w:w="3118"/>
          </w:tcPr>
          <w:p>
            <w:r>
              <w:t>Medium High</w:t>
            </w:r>
          </w:p>
        </w:tc>
      </w:tr>
      <w:tr>
        <w:tc>
          <w:tcPr>
            <w:tcW w:type="dxa" w:w="2268"/>
          </w:tcPr>
          <w:p>
            <w:r>
              <w:t>Min Investment</w:t>
            </w:r>
          </w:p>
        </w:tc>
        <w:tc>
          <w:tcPr>
            <w:tcW w:type="dxa" w:w="3118"/>
          </w:tcPr>
          <w:p>
            <w:r>
              <w:t>10k</w:t>
            </w:r>
          </w:p>
        </w:tc>
      </w:tr>
      <w:tr>
        <w:tc>
          <w:tcPr>
            <w:tcW w:type="dxa" w:w="2268"/>
          </w:tcPr>
          <w:p>
            <w:r>
              <w:t>Product Fee</w:t>
            </w:r>
          </w:p>
        </w:tc>
        <w:tc>
          <w:tcPr>
            <w:tcW w:type="dxa" w:w="3118"/>
          </w:tcPr>
          <w:p>
            <w:r>
              <w:t>Platform Specific - Refer to PDS</w:t>
            </w:r>
          </w:p>
        </w:tc>
      </w:tr>
      <w:tr>
        <w:tc>
          <w:tcPr>
            <w:tcW w:type="dxa" w:w="2268"/>
          </w:tcPr>
          <w:p>
            <w:r>
              <w:t>Underlying MER</w:t>
            </w:r>
          </w:p>
        </w:tc>
        <w:tc>
          <w:tcPr>
            <w:tcW w:type="dxa" w:w="3118"/>
          </w:tcPr>
          <w:p>
            <w:r>
              <w:t>1.25%</w:t>
            </w:r>
          </w:p>
        </w:tc>
      </w:tr>
      <w:tr>
        <w:tc>
          <w:tcPr>
            <w:tcW w:type="dxa" w:w="2268"/>
          </w:tcPr>
          <w:p>
            <w:r>
              <w:t>Underlying Perf Fees</w:t>
            </w:r>
          </w:p>
        </w:tc>
        <w:tc>
          <w:tcPr>
            <w:tcW w:type="dxa" w:w="3118"/>
          </w:tcPr>
          <w:p>
            <w:r>
              <w:t>0.00%</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ORCL.NYS</w:t>
            </w:r>
          </w:p>
        </w:tc>
        <w:tc>
          <w:tcPr>
            <w:tcW w:type="dxa" w:w="3685"/>
          </w:tcPr>
          <w:p>
            <w:r>
              <w:t>ORACLE CORP</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NAB-AU</w:t>
            </w:r>
          </w:p>
        </w:tc>
        <w:tc>
          <w:tcPr>
            <w:tcW w:type="dxa" w:w="3685"/>
          </w:tcPr>
          <w:p>
            <w:r>
              <w:t>National Australia Bank Limited</w:t>
            </w:r>
          </w:p>
        </w:tc>
      </w:tr>
      <w:tr>
        <w:tc>
          <w:tcPr>
            <w:tcW w:type="dxa" w:w="1417"/>
          </w:tcPr>
          <w:p>
            <w:r>
              <w:t>WBC-AU</w:t>
            </w:r>
          </w:p>
        </w:tc>
        <w:tc>
          <w:tcPr>
            <w:tcW w:type="dxa" w:w="3685"/>
          </w:tcPr>
          <w:p>
            <w:r>
              <w:t>Westpac Banking Corporation</w:t>
            </w:r>
          </w:p>
        </w:tc>
      </w:tr>
      <w:tr>
        <w:tc>
          <w:tcPr>
            <w:tcW w:type="dxa" w:w="1417"/>
          </w:tcPr>
          <w:p>
            <w:r>
              <w:t>CSL-AU</w:t>
            </w:r>
          </w:p>
        </w:tc>
        <w:tc>
          <w:tcPr>
            <w:tcW w:type="dxa" w:w="3685"/>
          </w:tcPr>
          <w:p>
            <w:r>
              <w:t>CSL Limited</w:t>
            </w:r>
          </w:p>
        </w:tc>
      </w:tr>
      <w:tr>
        <w:tc>
          <w:tcPr>
            <w:tcW w:type="dxa" w:w="1417"/>
          </w:tcPr>
          <w:p>
            <w:r>
              <w:t>ANZ-AU</w:t>
            </w:r>
          </w:p>
        </w:tc>
        <w:tc>
          <w:tcPr>
            <w:tcW w:type="dxa" w:w="3685"/>
          </w:tcPr>
          <w:p>
            <w:r>
              <w:t>ANZ Group Holdings Limited</w:t>
            </w:r>
          </w:p>
        </w:tc>
      </w:tr>
      <w:tr>
        <w:tc>
          <w:tcPr>
            <w:tcW w:type="dxa" w:w="1417"/>
          </w:tcPr>
          <w:p>
            <w:r>
              <w:t>WES-AU</w:t>
            </w:r>
          </w:p>
        </w:tc>
        <w:tc>
          <w:tcPr>
            <w:tcW w:type="dxa" w:w="3685"/>
          </w:tcPr>
          <w:p>
            <w:r>
              <w:t>Wesfarmers Limited</w:t>
            </w:r>
          </w:p>
        </w:tc>
      </w:tr>
      <w:tr>
        <w:tc>
          <w:tcPr>
            <w:tcW w:type="dxa" w:w="1417"/>
          </w:tcPr>
          <w:p>
            <w:r>
              <w:t>WDS-AU</w:t>
            </w:r>
          </w:p>
        </w:tc>
        <w:tc>
          <w:tcPr>
            <w:tcW w:type="dxa" w:w="3685"/>
          </w:tcPr>
          <w:p>
            <w:r>
              <w:t>Woodside Energy Group Ltd</w:t>
            </w:r>
          </w:p>
        </w:tc>
      </w:tr>
      <w:tr>
        <w:tc>
          <w:tcPr>
            <w:tcW w:type="dxa" w:w="1417"/>
          </w:tcPr>
          <w:p>
            <w:r>
              <w:t>MQG-AU</w:t>
            </w:r>
          </w:p>
        </w:tc>
        <w:tc>
          <w:tcPr>
            <w:tcW w:type="dxa" w:w="3685"/>
          </w:tcPr>
          <w:p>
            <w:r>
              <w:t>Macquarie Group Limited</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5527"/>
        <w:gridCol w:w="5527"/>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10.16</w:t>
            </w:r>
          </w:p>
        </w:tc>
      </w:tr>
      <w:tr>
        <w:tc>
          <w:tcPr>
            <w:tcW w:type="dxa" w:w="1984"/>
          </w:tcPr>
          <w:p>
            <w:r>
              <w:t>International Shares</w:t>
            </w:r>
          </w:p>
        </w:tc>
        <w:tc>
          <w:tcPr>
            <w:tcW w:type="dxa" w:w="3118"/>
          </w:tcPr>
          <w:p>
            <w:r>
              <w:t>13.98</w:t>
            </w:r>
          </w:p>
        </w:tc>
      </w:tr>
      <w:tr>
        <w:tc>
          <w:tcPr>
            <w:tcW w:type="dxa" w:w="1984"/>
          </w:tcPr>
          <w:p>
            <w:r>
              <w:t>Real Assets</w:t>
            </w:r>
          </w:p>
        </w:tc>
        <w:tc>
          <w:tcPr>
            <w:tcW w:type="dxa" w:w="3118"/>
          </w:tcPr>
          <w:p>
            <w:r>
              <w:t>-0.96</w:t>
            </w:r>
          </w:p>
        </w:tc>
      </w:tr>
      <w:tr>
        <w:tc>
          <w:tcPr>
            <w:tcW w:type="dxa" w:w="1984"/>
          </w:tcPr>
          <w:p>
            <w:r>
              <w:t>Alternatives</w:t>
            </w:r>
          </w:p>
        </w:tc>
        <w:tc>
          <w:tcPr>
            <w:tcW w:type="dxa" w:w="3118"/>
          </w:tcPr>
          <w:p>
            <w:r>
              <w:t>29.51</w:t>
            </w:r>
          </w:p>
        </w:tc>
      </w:tr>
      <w:tr>
        <w:tc>
          <w:tcPr>
            <w:tcW w:type="dxa" w:w="1984"/>
          </w:tcPr>
          <w:p>
            <w:r>
              <w:t>Long Duration</w:t>
            </w:r>
          </w:p>
        </w:tc>
        <w:tc>
          <w:tcPr>
            <w:tcW w:type="dxa" w:w="3118"/>
          </w:tcPr>
          <w:p>
            <w:r>
              <w:t>1.66</w:t>
            </w:r>
          </w:p>
        </w:tc>
      </w:tr>
      <w:tr>
        <w:tc>
          <w:tcPr>
            <w:tcW w:type="dxa" w:w="1984"/>
          </w:tcPr>
          <w:p>
            <w:r>
              <w:t>Floating Rate</w:t>
            </w:r>
          </w:p>
        </w:tc>
        <w:tc>
          <w:tcPr>
            <w:tcW w:type="dxa" w:w="3118"/>
          </w:tcPr>
          <w:p>
            <w:r>
              <w:t>2.82</w:t>
            </w:r>
          </w:p>
        </w:tc>
      </w:tr>
      <w:tr>
        <w:tc>
          <w:tcPr>
            <w:tcW w:type="dxa" w:w="1984"/>
          </w:tcPr>
          <w:p>
            <w:r>
              <w:t>Cash</w:t>
            </w:r>
          </w:p>
        </w:tc>
        <w:tc>
          <w:tcPr>
            <w:tcW w:type="dxa" w:w="3118"/>
          </w:tcPr>
          <w:p>
            <w:r>
              <w:t>4.42</w:t>
            </w:r>
          </w:p>
        </w:tc>
      </w:tr>
    </w:tbl>
    <w:p>
      <w:pPr>
        <w:pStyle w:val="Note"/>
      </w:pPr>
      <w:r>
        <w:t>Inception Date: 30 September 2023</w:t>
      </w:r>
    </w:p>
    <w:p>
      <w:pPr>
        <w:pStyle w:val="Heading30"/>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10.73</w:t>
            </w:r>
          </w:p>
        </w:tc>
        <w:tc>
          <w:tcPr>
            <w:tcW w:type="dxa" w:w="1417"/>
          </w:tcPr>
          <w:p>
            <w:r>
              <w:t>15.87</w:t>
            </w:r>
          </w:p>
        </w:tc>
      </w:tr>
      <w:tr>
        <w:tc>
          <w:tcPr>
            <w:tcW w:type="dxa" w:w="2268"/>
          </w:tcPr>
          <w:p>
            <w:r>
              <w:t>Aus Small</w:t>
            </w:r>
          </w:p>
        </w:tc>
        <w:tc>
          <w:tcPr>
            <w:tcW w:type="dxa" w:w="1417"/>
          </w:tcPr>
          <w:p>
            <w:r>
              <w:t>20.33</w:t>
            </w:r>
          </w:p>
        </w:tc>
        <w:tc>
          <w:tcPr>
            <w:tcW w:type="dxa" w:w="1417"/>
          </w:tcPr>
          <w:p>
            <w:r>
              <w:t>19.61</w:t>
            </w:r>
          </w:p>
        </w:tc>
      </w:tr>
      <w:tr>
        <w:tc>
          <w:tcPr>
            <w:tcW w:type="dxa" w:w="2268"/>
          </w:tcPr>
          <w:p>
            <w:r>
              <w:rPr>
                <w:b/>
              </w:rPr>
              <w:t>BM: Australian Shares</w:t>
            </w:r>
          </w:p>
        </w:tc>
        <w:tc>
          <w:tcPr>
            <w:tcW w:type="dxa" w:w="1417"/>
          </w:tcPr>
          <w:p>
            <w:r>
              <w:rPr>
                <w:b/>
              </w:rPr>
              <w:t>10.49</w:t>
            </w:r>
          </w:p>
        </w:tc>
        <w:tc>
          <w:tcPr>
            <w:tcW w:type="dxa" w:w="1417"/>
          </w:tcPr>
          <w:p>
            <w:r>
              <w:rPr>
                <w:b/>
              </w:rPr>
              <w:t>15.89</w:t>
            </w:r>
          </w:p>
        </w:tc>
      </w:tr>
      <w:tr>
        <w:tc>
          <w:tcPr>
            <w:tcW w:type="dxa" w:w="2268"/>
          </w:tcPr>
          <w:p>
            <w:r>
              <w:t>VG MSCI World</w:t>
            </w:r>
          </w:p>
        </w:tc>
        <w:tc>
          <w:tcPr>
            <w:tcW w:type="dxa" w:w="1417"/>
          </w:tcPr>
          <w:p>
            <w:r>
              <w:t>23.12</w:t>
            </w:r>
          </w:p>
        </w:tc>
        <w:tc>
          <w:tcPr>
            <w:tcW w:type="dxa" w:w="1417"/>
          </w:tcPr>
          <w:p>
            <w:r>
              <w:t>23.04</w:t>
            </w:r>
          </w:p>
        </w:tc>
      </w:tr>
      <w:tr>
        <w:tc>
          <w:tcPr>
            <w:tcW w:type="dxa" w:w="2268"/>
          </w:tcPr>
          <w:p>
            <w:r>
              <w:t>VE MOAT</w:t>
            </w:r>
          </w:p>
        </w:tc>
        <w:tc>
          <w:tcPr>
            <w:tcW w:type="dxa" w:w="1417"/>
          </w:tcPr>
          <w:p>
            <w:r>
              <w:t>7.83</w:t>
            </w:r>
          </w:p>
        </w:tc>
        <w:tc>
          <w:tcPr>
            <w:tcW w:type="dxa" w:w="1417"/>
          </w:tcPr>
          <w:p>
            <w:r>
              <w:t>13.52</w:t>
            </w:r>
          </w:p>
        </w:tc>
      </w:tr>
      <w:tr>
        <w:tc>
          <w:tcPr>
            <w:tcW w:type="dxa" w:w="2268"/>
          </w:tcPr>
          <w:p>
            <w:r>
              <w:t>iShares Global Health</w:t>
            </w:r>
          </w:p>
        </w:tc>
        <w:tc>
          <w:tcPr>
            <w:tcW w:type="dxa" w:w="1417"/>
          </w:tcPr>
          <w:p>
            <w:r>
              <w:t>-6.06</w:t>
            </w:r>
          </w:p>
        </w:tc>
        <w:tc>
          <w:tcPr>
            <w:tcW w:type="dxa" w:w="1417"/>
          </w:tcPr>
          <w:p>
            <w:r>
              <w:t>2.27</w:t>
            </w:r>
          </w:p>
        </w:tc>
      </w:tr>
      <w:tr>
        <w:tc>
          <w:tcPr>
            <w:tcW w:type="dxa" w:w="2268"/>
          </w:tcPr>
          <w:p>
            <w:r>
              <w:t>VanEck Glb Small Qual</w:t>
            </w:r>
          </w:p>
        </w:tc>
        <w:tc>
          <w:tcPr>
            <w:tcW w:type="dxa" w:w="1417"/>
          </w:tcPr>
          <w:p>
            <w:r>
              <w:t>12.23</w:t>
            </w:r>
          </w:p>
        </w:tc>
        <w:tc>
          <w:tcPr>
            <w:tcW w:type="dxa" w:w="1417"/>
          </w:tcPr>
          <w:p>
            <w:r>
              <w:t>17.12</w:t>
            </w:r>
          </w:p>
        </w:tc>
      </w:tr>
      <w:tr>
        <w:tc>
          <w:tcPr>
            <w:tcW w:type="dxa" w:w="2268"/>
          </w:tcPr>
          <w:p>
            <w:r>
              <w:t>VG All ex US Shares</w:t>
            </w:r>
          </w:p>
        </w:tc>
        <w:tc>
          <w:tcPr>
            <w:tcW w:type="dxa" w:w="1417"/>
          </w:tcPr>
          <w:p>
            <w:r>
              <w:t>20.23</w:t>
            </w:r>
          </w:p>
        </w:tc>
        <w:tc>
          <w:tcPr>
            <w:tcW w:type="dxa" w:w="1417"/>
          </w:tcPr>
          <w:p>
            <w:r>
              <w:t>18.56</w:t>
            </w:r>
          </w:p>
        </w:tc>
      </w:tr>
      <w:tr>
        <w:tc>
          <w:tcPr>
            <w:tcW w:type="dxa" w:w="2268"/>
          </w:tcPr>
          <w:p>
            <w:r>
              <w:t>Betashares Rps</w:t>
            </w:r>
          </w:p>
        </w:tc>
        <w:tc>
          <w:tcPr>
            <w:tcW w:type="dxa" w:w="1417"/>
          </w:tcPr>
          <w:p>
            <w:r>
              <w:t>-12.17</w:t>
            </w:r>
          </w:p>
        </w:tc>
        <w:tc>
          <w:tcPr>
            <w:tcW w:type="dxa" w:w="1417"/>
          </w:tcPr>
          <w:p>
            <w:r>
              <w:t>1.25</w:t>
            </w:r>
          </w:p>
        </w:tc>
      </w:tr>
      <w:tr>
        <w:tc>
          <w:tcPr>
            <w:tcW w:type="dxa" w:w="2268"/>
          </w:tcPr>
          <w:p>
            <w:r>
              <w:t>GlobX US Biotech</w:t>
            </w:r>
          </w:p>
        </w:tc>
        <w:tc>
          <w:tcPr>
            <w:tcW w:type="dxa" w:w="1417"/>
          </w:tcPr>
          <w:p>
            <w:r>
              <w:t>6.07</w:t>
            </w:r>
          </w:p>
        </w:tc>
        <w:tc>
          <w:tcPr>
            <w:tcW w:type="dxa" w:w="1417"/>
          </w:tcPr>
          <w:p>
            <w:r>
              <w:t>14.68</w:t>
            </w:r>
          </w:p>
        </w:tc>
      </w:tr>
      <w:tr>
        <w:tc>
          <w:tcPr>
            <w:tcW w:type="dxa" w:w="2268"/>
          </w:tcPr>
          <w:p>
            <w:r>
              <w:rPr>
                <w:b/>
              </w:rPr>
              <w:t>BM: International Shares</w:t>
            </w:r>
          </w:p>
        </w:tc>
        <w:tc>
          <w:tcPr>
            <w:tcW w:type="dxa" w:w="1417"/>
          </w:tcPr>
          <w:p>
            <w:r>
              <w:rPr>
                <w:b/>
              </w:rPr>
              <w:t>23.27</w:t>
            </w:r>
          </w:p>
        </w:tc>
        <w:tc>
          <w:tcPr>
            <w:tcW w:type="dxa" w:w="1417"/>
          </w:tcPr>
          <w:p>
            <w:r>
              <w:rPr>
                <w:b/>
              </w:rPr>
              <w:t>22.62</w:t>
            </w:r>
          </w:p>
        </w:tc>
      </w:tr>
      <w:tr>
        <w:tc>
          <w:tcPr>
            <w:tcW w:type="dxa" w:w="2268"/>
          </w:tcPr>
          <w:p>
            <w:r>
              <w:t>VG AREIT</w:t>
            </w:r>
          </w:p>
        </w:tc>
        <w:tc>
          <w:tcPr>
            <w:tcW w:type="dxa" w:w="1417"/>
          </w:tcPr>
          <w:p>
            <w:r>
              <w:t>4.28</w:t>
            </w:r>
          </w:p>
        </w:tc>
        <w:tc>
          <w:tcPr>
            <w:tcW w:type="dxa" w:w="1417"/>
          </w:tcPr>
          <w:p>
            <w:r>
              <w:t>22.67</w:t>
            </w:r>
          </w:p>
        </w:tc>
      </w:tr>
      <w:tr>
        <w:tc>
          <w:tcPr>
            <w:tcW w:type="dxa" w:w="2268"/>
          </w:tcPr>
          <w:p>
            <w:r>
              <w:t>VanEck GREIT</w:t>
            </w:r>
          </w:p>
        </w:tc>
        <w:tc>
          <w:tcPr>
            <w:tcW w:type="dxa" w:w="1417"/>
          </w:tcPr>
          <w:p>
            <w:r>
              <w:t>-2.42</w:t>
            </w:r>
          </w:p>
        </w:tc>
        <w:tc>
          <w:tcPr>
            <w:tcW w:type="dxa" w:w="1417"/>
          </w:tcPr>
          <w:p>
            <w:r>
              <w:t>10.81</w:t>
            </w:r>
          </w:p>
        </w:tc>
      </w:tr>
      <w:tr>
        <w:tc>
          <w:tcPr>
            <w:tcW w:type="dxa" w:w="2268"/>
          </w:tcPr>
          <w:p>
            <w:r>
              <w:rPr>
                <w:b/>
              </w:rPr>
              <w:t>BM: Real Assets</w:t>
            </w:r>
          </w:p>
        </w:tc>
        <w:tc>
          <w:tcPr>
            <w:tcW w:type="dxa" w:w="1417"/>
          </w:tcPr>
          <w:p>
            <w:r>
              <w:rPr>
                <w:b/>
              </w:rPr>
              <w:t>2.49</w:t>
            </w:r>
          </w:p>
        </w:tc>
        <w:tc>
          <w:tcPr>
            <w:tcW w:type="dxa" w:w="1417"/>
          </w:tcPr>
          <w:p>
            <w:r>
              <w:rPr>
                <w:b/>
              </w:rPr>
              <w:t>12.89</w:t>
            </w:r>
          </w:p>
        </w:tc>
      </w:tr>
      <w:tr>
        <w:tc>
          <w:tcPr>
            <w:tcW w:type="dxa" w:w="2268"/>
          </w:tcPr>
          <w:p>
            <w:r>
              <w:t>BetaShares Robotics AI</w:t>
            </w:r>
          </w:p>
        </w:tc>
        <w:tc>
          <w:tcPr>
            <w:tcW w:type="dxa" w:w="1417"/>
          </w:tcPr>
          <w:p>
            <w:r>
              <w:t>14.46</w:t>
            </w:r>
          </w:p>
        </w:tc>
        <w:tc>
          <w:tcPr>
            <w:tcW w:type="dxa" w:w="1417"/>
          </w:tcPr>
          <w:p>
            <w:r>
              <w:t>17.88</w:t>
            </w:r>
          </w:p>
        </w:tc>
      </w:tr>
      <w:tr>
        <w:tc>
          <w:tcPr>
            <w:tcW w:type="dxa" w:w="2268"/>
          </w:tcPr>
          <w:p>
            <w:r>
              <w:t>iShares Physical Gold</w:t>
            </w:r>
          </w:p>
        </w:tc>
        <w:tc>
          <w:tcPr>
            <w:tcW w:type="dxa" w:w="1417"/>
          </w:tcPr>
          <w:p>
            <w:r>
              <w:t>52.96</w:t>
            </w:r>
          </w:p>
        </w:tc>
        <w:tc>
          <w:tcPr>
            <w:tcW w:type="dxa" w:w="1417"/>
          </w:tcPr>
          <w:p>
            <w:r>
              <w:t>36.56</w:t>
            </w:r>
          </w:p>
        </w:tc>
      </w:tr>
      <w:tr>
        <w:tc>
          <w:tcPr>
            <w:tcW w:type="dxa" w:w="2268"/>
          </w:tcPr>
          <w:p>
            <w:r>
              <w:rPr>
                <w:b/>
              </w:rPr>
              <w:t>BM: Alternatives</w:t>
            </w:r>
          </w:p>
        </w:tc>
        <w:tc>
          <w:tcPr>
            <w:tcW w:type="dxa" w:w="1417"/>
          </w:tcPr>
          <w:p>
            <w:r>
              <w:rPr>
                <w:b/>
              </w:rPr>
              <w:t>4.28</w:t>
            </w:r>
          </w:p>
        </w:tc>
        <w:tc>
          <w:tcPr>
            <w:tcW w:type="dxa" w:w="1417"/>
          </w:tcPr>
          <w:p>
            <w:r>
              <w:rPr>
                <w:b/>
              </w:rPr>
              <w:t>4.41</w:t>
            </w:r>
          </w:p>
        </w:tc>
      </w:tr>
      <w:tr>
        <w:tc>
          <w:tcPr>
            <w:tcW w:type="dxa" w:w="2268"/>
          </w:tcPr>
          <w:p>
            <w:r>
              <w:t>iShares Aus Bond</w:t>
            </w:r>
          </w:p>
        </w:tc>
        <w:tc>
          <w:tcPr>
            <w:tcW w:type="dxa" w:w="1417"/>
          </w:tcPr>
          <w:p>
            <w:r>
              <w:t>3.84</w:t>
            </w:r>
          </w:p>
        </w:tc>
        <w:tc>
          <w:tcPr>
            <w:tcW w:type="dxa" w:w="1417"/>
          </w:tcPr>
          <w:p>
            <w:r>
              <w:t>5.46</w:t>
            </w:r>
          </w:p>
        </w:tc>
      </w:tr>
      <w:tr>
        <w:tc>
          <w:tcPr>
            <w:tcW w:type="dxa" w:w="2268"/>
          </w:tcPr>
          <w:p>
            <w:r>
              <w:t>VG int FI</w:t>
            </w:r>
          </w:p>
        </w:tc>
        <w:tc>
          <w:tcPr>
            <w:tcW w:type="dxa" w:w="1417"/>
          </w:tcPr>
          <w:p>
            <w:r>
              <w:t>0.87</w:t>
            </w:r>
          </w:p>
        </w:tc>
        <w:tc>
          <w:tcPr>
            <w:tcW w:type="dxa" w:w="1417"/>
          </w:tcPr>
          <w:p>
            <w:r>
              <w:t>4.35</w:t>
            </w:r>
          </w:p>
        </w:tc>
      </w:tr>
      <w:tr>
        <w:tc>
          <w:tcPr>
            <w:tcW w:type="dxa" w:w="2268"/>
          </w:tcPr>
          <w:p>
            <w:r>
              <w:rPr>
                <w:b/>
              </w:rPr>
              <w:t>BM: Duration</w:t>
            </w:r>
          </w:p>
        </w:tc>
        <w:tc>
          <w:tcPr>
            <w:tcW w:type="dxa" w:w="1417"/>
          </w:tcPr>
          <w:p>
            <w:r>
              <w:rPr>
                <w:b/>
              </w:rPr>
              <w:t>3.16</w:t>
            </w:r>
          </w:p>
        </w:tc>
        <w:tc>
          <w:tcPr>
            <w:tcW w:type="dxa" w:w="1417"/>
          </w:tcPr>
          <w:p>
            <w:r>
              <w:rPr>
                <w:b/>
              </w:rPr>
              <w:t>5.49</w:t>
            </w:r>
          </w:p>
        </w:tc>
      </w:tr>
      <w:tr>
        <w:tc>
          <w:tcPr>
            <w:tcW w:type="dxa" w:w="2268"/>
          </w:tcPr>
          <w:p>
            <w:r>
              <w:t>BetaShares Inv Grade ST</w:t>
            </w:r>
          </w:p>
        </w:tc>
        <w:tc>
          <w:tcPr>
            <w:tcW w:type="dxa" w:w="1417"/>
          </w:tcPr>
          <w:p>
            <w:r>
              <w:t>6.73</w:t>
            </w:r>
          </w:p>
        </w:tc>
        <w:tc>
          <w:tcPr>
            <w:tcW w:type="dxa" w:w="1417"/>
          </w:tcPr>
          <w:p>
            <w:r>
              <w:t>9.66</w:t>
            </w:r>
          </w:p>
        </w:tc>
      </w:tr>
      <w:tr>
        <w:tc>
          <w:tcPr>
            <w:tcW w:type="dxa" w:w="2268"/>
          </w:tcPr>
          <w:p>
            <w:r>
              <w:t>VanEck List Prv Cred</w:t>
            </w:r>
          </w:p>
        </w:tc>
        <w:tc>
          <w:tcPr>
            <w:tcW w:type="dxa" w:w="1417"/>
          </w:tcPr>
          <w:p>
            <w:r>
              <w:t>-2.57</w:t>
            </w:r>
          </w:p>
        </w:tc>
        <w:tc>
          <w:tcPr>
            <w:tcW w:type="dxa" w:w="1417"/>
          </w:tcPr>
          <w:p>
            <w:r>
              <w:t>2.23</w:t>
            </w:r>
          </w:p>
        </w:tc>
      </w:tr>
      <w:tr>
        <w:tc>
          <w:tcPr>
            <w:tcW w:type="dxa" w:w="2268"/>
          </w:tcPr>
          <w:p>
            <w:r>
              <w:t>iShares US HY Cred</w:t>
            </w:r>
          </w:p>
        </w:tc>
        <w:tc>
          <w:tcPr>
            <w:tcW w:type="dxa" w:w="1417"/>
          </w:tcPr>
          <w:p>
            <w:r>
              <w:t>5.1</w:t>
            </w:r>
          </w:p>
        </w:tc>
        <w:tc>
          <w:tcPr>
            <w:tcW w:type="dxa" w:w="1417"/>
          </w:tcPr>
          <w:p>
            <w:r>
              <w:t>8.85</w:t>
            </w:r>
          </w:p>
        </w:tc>
      </w:tr>
      <w:tr>
        <w:tc>
          <w:tcPr>
            <w:tcW w:type="dxa" w:w="2268"/>
          </w:tcPr>
          <w:p>
            <w:r>
              <w:t>Daintree Core Inc ETF</w:t>
            </w:r>
          </w:p>
        </w:tc>
        <w:tc>
          <w:tcPr>
            <w:tcW w:type="dxa" w:w="1417"/>
          </w:tcPr>
          <w:p>
            <w:r>
              <w:t>6.48</w:t>
            </w:r>
          </w:p>
        </w:tc>
        <w:tc>
          <w:tcPr>
            <w:tcW w:type="dxa" w:w="1417"/>
          </w:tcPr>
          <w:p>
            <w:r>
              <w:t>3.47</w:t>
            </w:r>
          </w:p>
        </w:tc>
      </w:tr>
      <w:tr>
        <w:tc>
          <w:tcPr>
            <w:tcW w:type="dxa" w:w="2268"/>
          </w:tcPr>
          <w:p>
            <w:r>
              <w:rPr>
                <w:b/>
              </w:rPr>
              <w:t>BM: Floating</w:t>
            </w:r>
          </w:p>
        </w:tc>
        <w:tc>
          <w:tcPr>
            <w:tcW w:type="dxa" w:w="1417"/>
          </w:tcPr>
          <w:p>
            <w:r>
              <w:rPr>
                <w:b/>
              </w:rPr>
              <w:t>5.05</w:t>
            </w:r>
          </w:p>
        </w:tc>
        <w:tc>
          <w:tcPr>
            <w:tcW w:type="dxa" w:w="1417"/>
          </w:tcPr>
          <w:p>
            <w:r>
              <w:rPr>
                <w:b/>
              </w:rPr>
              <w:t>5.24</w:t>
            </w:r>
          </w:p>
        </w:tc>
      </w:tr>
      <w:tr>
        <w:tc>
          <w:tcPr>
            <w:tcW w:type="dxa" w:w="2268"/>
          </w:tcPr>
          <w:p>
            <w:r>
              <w:t>iShares Cash</w:t>
            </w:r>
          </w:p>
        </w:tc>
        <w:tc>
          <w:tcPr>
            <w:tcW w:type="dxa" w:w="1417"/>
          </w:tcPr>
          <w:p>
            <w:r>
              <w:t>4.29</w:t>
            </w:r>
          </w:p>
        </w:tc>
        <w:tc>
          <w:tcPr>
            <w:tcW w:type="dxa" w:w="1417"/>
          </w:tcPr>
          <w:p>
            <w:r>
              <w:t>4.39</w:t>
            </w:r>
          </w:p>
        </w:tc>
      </w:tr>
      <w:tr>
        <w:tc>
          <w:tcPr>
            <w:tcW w:type="dxa" w:w="2268"/>
          </w:tcPr>
          <w:p>
            <w:r>
              <w:t>Cash</w:t>
            </w:r>
          </w:p>
        </w:tc>
        <w:tc>
          <w:tcPr>
            <w:tcW w:type="dxa" w:w="1417"/>
          </w:tcPr>
          <w:p>
            <w:r>
              <w:t>4.28</w:t>
            </w:r>
          </w:p>
        </w:tc>
        <w:tc>
          <w:tcPr>
            <w:tcW w:type="dxa" w:w="1417"/>
          </w:tcPr>
          <w:p>
            <w:r>
              <w:t>4.41</w:t>
            </w:r>
          </w:p>
        </w:tc>
      </w:tr>
    </w:tbl>
    <w:p>
      <w:pPr>
        <w:pStyle w:val="Note"/>
      </w:pPr>
      <w:r>
        <w:t>Inception Date: 30 September 2023</w:t>
      </w:r>
    </w:p>
    <w:p>
      <w:pPr>
        <w:pStyle w:val="BodyStyle"/>
      </w:pPr>
      <w:r>
        <w:t>Underlying investment manager returns are shown after fees and before tax</w:t>
      </w:r>
    </w:p>
    <w:br w:type="column"/>
    <w:p>
      <w:pPr>
        <w:pStyle w:val="Heading20"/>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