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9ECC" w14:textId="77777777" w:rsidR="005E14BC" w:rsidRPr="001C33C8" w:rsidRDefault="005E14BC" w:rsidP="001C33C8"/>
    <w:p>
      <w:pPr>
        <w:pStyle w:val="Heading10"/>
        <w:tabs>
          <w:tab w:pos="10772" w:val="right"/>
        </w:tabs>
      </w:pPr>
      <w:r>
        <w:t>Rajomon Growth Fund</w:t>
      </w:r>
      <w:r>
        <w:tab/>
      </w:r>
      <w:r>
        <w:t>31 May 2025</w:t>
      </w:r>
    </w:p>
    <w:tbl>
      <w:tblPr>
        <w:tblStyle w:val="AtchisonTable1"/>
        <w:tblW w:type="auto" w:w="0"/>
        <w:tblLook w:firstColumn="1" w:firstRow="1" w:lastColumn="0" w:lastRow="0" w:noHBand="0" w:noVBand="1" w:val="04A0"/>
      </w:tblPr>
      <w:tblGrid>
        <w:gridCol w:w="2211"/>
        <w:gridCol w:w="2211"/>
        <w:gridCol w:w="2211"/>
        <w:gridCol w:w="2211"/>
        <w:gridCol w:w="2211"/>
      </w:tblGrid>
      <w:tr>
        <w:tc>
          <w:tcPr>
            <w:tcW w:type="dxa" w:w="2551"/>
          </w:tcPr>
          <w:p/>
        </w:tc>
        <w:tc>
          <w:tcPr>
            <w:tcW w:type="dxa" w:w="2055"/>
          </w:tcPr>
          <w:p>
            <w:r>
              <w:t>3 Months</w:t>
            </w:r>
          </w:p>
        </w:tc>
        <w:tc>
          <w:tcPr>
            <w:tcW w:type="dxa" w:w="2055"/>
          </w:tcPr>
          <w:p>
            <w:r>
              <w:t>6 Months</w:t>
            </w:r>
          </w:p>
        </w:tc>
        <w:tc>
          <w:tcPr>
            <w:tcW w:type="dxa" w:w="2055"/>
          </w:tcPr>
          <w:p>
            <w:r>
              <w:t>1 Year</w:t>
            </w:r>
          </w:p>
        </w:tc>
        <w:tc>
          <w:tcPr>
            <w:tcW w:type="dxa" w:w="2055"/>
          </w:tcPr>
          <w:p>
            <w:r>
              <w:t>Since Inception (p.a.)</w:t>
            </w:r>
          </w:p>
        </w:tc>
      </w:tr>
      <w:tr>
        <w:tc>
          <w:tcPr>
            <w:tcW w:type="dxa" w:w="2551"/>
          </w:tcPr>
          <w:p>
            <w:r>
              <w:t>RAJOMON90</w:t>
            </w:r>
          </w:p>
        </w:tc>
        <w:tc>
          <w:tcPr>
            <w:tcW w:type="dxa" w:w="2055"/>
          </w:tcPr>
          <w:p>
            <w:r>
              <w:rPr>
                <w:b/>
              </w:rPr>
              <w:t>0.02</w:t>
            </w:r>
          </w:p>
        </w:tc>
        <w:tc>
          <w:tcPr>
            <w:tcW w:type="dxa" w:w="2055"/>
          </w:tcPr>
          <w:p>
            <w:r>
              <w:rPr>
                <w:b/>
              </w:rPr>
              <w:t>0.39</w:t>
            </w:r>
          </w:p>
        </w:tc>
        <w:tc>
          <w:tcPr>
            <w:tcW w:type="dxa" w:w="2055"/>
          </w:tcPr>
          <w:p>
            <w:r>
              <w:rPr>
                <w:b/>
              </w:rPr>
              <w:t>10.67</w:t>
            </w:r>
          </w:p>
        </w:tc>
        <w:tc>
          <w:tcPr>
            <w:tcW w:type="dxa" w:w="2055"/>
          </w:tcPr>
          <w:p>
            <w:r>
              <w:rPr>
                <w:b/>
              </w:rPr>
              <w:t>15.38</w:t>
            </w:r>
          </w:p>
        </w:tc>
      </w:tr>
      <w:tr>
        <w:tc>
          <w:tcPr>
            <w:tcW w:type="dxa" w:w="2551"/>
          </w:tcPr>
          <w:p>
            <w:r>
              <w:t>Peer Group</w:t>
            </w:r>
          </w:p>
        </w:tc>
        <w:tc>
          <w:tcPr>
            <w:tcW w:type="dxa" w:w="2055"/>
          </w:tcPr>
          <w:p>
            <w:r>
              <w:t>1.29</w:t>
            </w:r>
          </w:p>
        </w:tc>
        <w:tc>
          <w:tcPr>
            <w:tcW w:type="dxa" w:w="2055"/>
          </w:tcPr>
          <w:p>
            <w:r>
              <w:t>1.66</w:t>
            </w:r>
          </w:p>
        </w:tc>
        <w:tc>
          <w:tcPr>
            <w:tcW w:type="dxa" w:w="2055"/>
          </w:tcPr>
          <w:p>
            <w:r>
              <w:t>9.77</w:t>
            </w:r>
          </w:p>
        </w:tc>
        <w:tc>
          <w:tcPr>
            <w:tcW w:type="dxa" w:w="2055"/>
          </w:tcPr>
          <w:p>
            <w:r>
              <w:t>12.09</w:t>
            </w:r>
          </w:p>
        </w:tc>
      </w:tr>
      <w:tr>
        <w:tc>
          <w:tcPr>
            <w:tcW w:type="dxa" w:w="2551"/>
          </w:tcPr>
          <w:p>
            <w:r>
              <w:t>Inflation</w:t>
            </w:r>
          </w:p>
        </w:tc>
        <w:tc>
          <w:tcPr>
            <w:tcW w:type="dxa" w:w="2055"/>
          </w:tcPr>
          <w:p>
            <w:r>
              <w:t>1.2</w:t>
            </w:r>
          </w:p>
        </w:tc>
        <w:tc>
          <w:tcPr>
            <w:tcW w:type="dxa" w:w="2055"/>
          </w:tcPr>
          <w:p>
            <w:r>
              <w:t>1.5</w:t>
            </w:r>
          </w:p>
        </w:tc>
        <w:tc>
          <w:tcPr>
            <w:tcW w:type="dxa" w:w="2055"/>
          </w:tcPr>
          <w:p>
            <w:r>
              <w:t>2.21</w:t>
            </w:r>
          </w:p>
        </w:tc>
        <w:tc>
          <w:tcPr>
            <w:tcW w:type="dxa" w:w="2055"/>
          </w:tcPr>
          <w:p>
            <w:r>
              <w:t>2.29</w:t>
            </w:r>
          </w:p>
        </w:tc>
      </w:tr>
      <w:tr>
        <w:tc>
          <w:tcPr>
            <w:tcW w:type="dxa" w:w="2551"/>
          </w:tcPr>
          <w:p>
            <w:r>
              <w:t>Outperformance vs Peers</w:t>
            </w:r>
          </w:p>
        </w:tc>
        <w:tc>
          <w:tcPr>
            <w:tcW w:type="dxa" w:w="2055"/>
          </w:tcPr>
          <w:p>
            <w:r>
              <w:t>-1.27</w:t>
            </w:r>
          </w:p>
        </w:tc>
        <w:tc>
          <w:tcPr>
            <w:tcW w:type="dxa" w:w="2055"/>
          </w:tcPr>
          <w:p>
            <w:r>
              <w:t>-1.26</w:t>
            </w:r>
          </w:p>
        </w:tc>
        <w:tc>
          <w:tcPr>
            <w:tcW w:type="dxa" w:w="2055"/>
          </w:tcPr>
          <w:p>
            <w:r>
              <w:t>0.91</w:t>
            </w:r>
          </w:p>
        </w:tc>
        <w:tc>
          <w:tcPr>
            <w:tcW w:type="dxa" w:w="2055"/>
          </w:tcPr>
          <w:p>
            <w:r>
              <w:t>3.29</w:t>
            </w:r>
          </w:p>
        </w:tc>
      </w:tr>
      <w:tr>
        <w:tc>
          <w:tcPr>
            <w:tcW w:type="dxa" w:w="2551"/>
          </w:tcPr>
          <w:p>
            <w:r>
              <w:t>Outperformance vs Inflation</w:t>
            </w:r>
          </w:p>
        </w:tc>
        <w:tc>
          <w:tcPr>
            <w:tcW w:type="dxa" w:w="2055"/>
          </w:tcPr>
          <w:p>
            <w:r>
              <w:t>-1.18</w:t>
            </w:r>
          </w:p>
        </w:tc>
        <w:tc>
          <w:tcPr>
            <w:tcW w:type="dxa" w:w="2055"/>
          </w:tcPr>
          <w:p>
            <w:r>
              <w:t>-1.11</w:t>
            </w:r>
          </w:p>
        </w:tc>
        <w:tc>
          <w:tcPr>
            <w:tcW w:type="dxa" w:w="2055"/>
          </w:tcPr>
          <w:p>
            <w:r>
              <w:t>8.47</w:t>
            </w:r>
          </w:p>
        </w:tc>
        <w:tc>
          <w:tcPr>
            <w:tcW w:type="dxa" w:w="2055"/>
          </w:tcPr>
          <w:p>
            <w:r>
              <w:t>13.09</w:t>
            </w:r>
          </w:p>
        </w:tc>
      </w:tr>
    </w:tbl>
    <w:p>
      <w:pPr>
        <w:pStyle w:val="Note"/>
      </w:pPr>
      <w:r>
        <w:t>Inception Date: 30 September 2023</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0" w:right="420" w:bottom="0" w:left="425" w:header="0" w:footer="726" w:gutter="0"/>
          <w:cols w:space="284"/>
          <w:docGrid w:linePitch="360"/>
        </w:sectPr>
      </w:pPr>
    </w:p>
    <w:p>
      <w:pPr>
        <w:pStyle w:val="Heading20"/>
      </w:pPr>
      <w:r>
        <w:t>Investment Objective</w:t>
      </w:r>
    </w:p>
    <w:p>
      <w:pPr>
        <w:pStyle w:val="BodyStyle"/>
      </w:pPr>
      <w:r>
        <w:t>nan</w:t>
      </w:r>
    </w:p>
    <w:p>
      <w:pPr>
        <w:pStyle w:val="Heading20"/>
      </w:pPr>
      <w:r>
        <w:t>Strategy Overview</w:t>
      </w:r>
    </w:p>
    <w:p>
      <w:pPr>
        <w:pStyle w:val="BodyStyle"/>
      </w:pPr>
      <w:r>
        <w:t>nan</w:t>
      </w:r>
    </w:p>
    <w:tbl>
      <w:tblPr>
        <w:tblStyle w:val="AtchisonTable1"/>
        <w:tblW w:type="auto" w:w="0"/>
        <w:tblLook w:firstColumn="1" w:firstRow="1" w:lastColumn="0" w:lastRow="0" w:noHBand="0" w:noVBand="1" w:val="04A0"/>
      </w:tblPr>
      <w:tblGrid>
        <w:gridCol w:w="5527"/>
        <w:gridCol w:w="5527"/>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Rajomon</w:t>
            </w:r>
          </w:p>
        </w:tc>
      </w:tr>
      <w:tr>
        <w:tc>
          <w:tcPr>
            <w:tcW w:type="dxa" w:w="2268"/>
          </w:tcPr>
          <w:p>
            <w:r>
              <w:t>Benchmark</w:t>
            </w:r>
          </w:p>
        </w:tc>
        <w:tc>
          <w:tcPr>
            <w:tcW w:type="dxa" w:w="3118"/>
          </w:tcPr>
          <w:p>
            <w:r>
              <w:t>nan</w:t>
            </w:r>
          </w:p>
        </w:tc>
      </w:tr>
      <w:tr>
        <w:tc>
          <w:tcPr>
            <w:tcW w:type="dxa" w:w="2268"/>
          </w:tcPr>
          <w:p>
            <w:r>
              <w:t>Inception Date</w:t>
            </w:r>
          </w:p>
        </w:tc>
        <w:tc>
          <w:tcPr>
            <w:tcW w:type="dxa" w:w="3118"/>
          </w:tcPr>
          <w:p>
            <w:r>
              <w:t>30 September 2023</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0"/>
      </w:pPr>
      <w:r>
        <w:t>Top 10 Share Exposures</w:t>
      </w:r>
    </w:p>
    <w:tbl>
      <w:tblPr>
        <w:tblStyle w:val="AtchisonTable1"/>
        <w:tblW w:type="auto" w:w="0"/>
        <w:tblLook w:firstColumn="1" w:firstRow="1" w:lastColumn="0" w:lastRow="0" w:noHBand="0" w:noVBand="1" w:val="04A0"/>
      </w:tblPr>
      <w:tblGrid>
        <w:gridCol w:w="5527"/>
        <w:gridCol w:w="5527"/>
      </w:tblGrid>
      <w:tr>
        <w:tc>
          <w:tcPr>
            <w:tcW w:type="dxa" w:w="1417"/>
          </w:tcPr>
          <w:p>
            <w:r>
              <w:rPr>
                <w:b/>
              </w:rPr>
              <w:t>Code</w:t>
            </w:r>
          </w:p>
        </w:tc>
        <w:tc>
          <w:tcPr>
            <w:tcW w:type="dxa" w:w="3685"/>
          </w:tcPr>
          <w:p>
            <w:r>
              <w:rPr>
                <w:b/>
              </w:rPr>
              <w:t>Name</w:t>
            </w:r>
          </w:p>
        </w:tc>
      </w:tr>
      <w:tr>
        <w:tc>
          <w:tcPr>
            <w:tcW w:type="dxa" w:w="1417"/>
          </w:tcPr>
          <w:p>
            <w:r>
              <w:t>AAPL.NAS</w:t>
            </w:r>
          </w:p>
        </w:tc>
        <w:tc>
          <w:tcPr>
            <w:tcW w:type="dxa" w:w="3685"/>
          </w:tcPr>
          <w:p>
            <w:r>
              <w:t>APPLE INC</w:t>
            </w:r>
          </w:p>
        </w:tc>
      </w:tr>
      <w:tr>
        <w:tc>
          <w:tcPr>
            <w:tcW w:type="dxa" w:w="1417"/>
          </w:tcPr>
          <w:p>
            <w:r>
              <w:t>MSFT.NAS</w:t>
            </w:r>
          </w:p>
        </w:tc>
        <w:tc>
          <w:tcPr>
            <w:tcW w:type="dxa" w:w="3685"/>
          </w:tcPr>
          <w:p>
            <w:r>
              <w:t>MICROSOFT CORP</w:t>
            </w:r>
          </w:p>
        </w:tc>
      </w:tr>
      <w:tr>
        <w:tc>
          <w:tcPr>
            <w:tcW w:type="dxa" w:w="1417"/>
          </w:tcPr>
          <w:p>
            <w:r>
              <w:t>LLY.NYS</w:t>
            </w:r>
          </w:p>
        </w:tc>
        <w:tc>
          <w:tcPr>
            <w:tcW w:type="dxa" w:w="3685"/>
          </w:tcPr>
          <w:p>
            <w:r>
              <w:t>ELI LILLY</w:t>
            </w:r>
          </w:p>
        </w:tc>
      </w:tr>
      <w:tr>
        <w:tc>
          <w:tcPr>
            <w:tcW w:type="dxa" w:w="1417"/>
          </w:tcPr>
          <w:p>
            <w:r>
              <w:t>NVDA.NAS</w:t>
            </w:r>
          </w:p>
        </w:tc>
        <w:tc>
          <w:tcPr>
            <w:tcW w:type="dxa" w:w="3685"/>
          </w:tcPr>
          <w:p>
            <w:r>
              <w:t>NVIDIA CORP</w:t>
            </w:r>
          </w:p>
        </w:tc>
      </w:tr>
      <w:tr>
        <w:tc>
          <w:tcPr>
            <w:tcW w:type="dxa" w:w="1417"/>
          </w:tcPr>
          <w:p>
            <w:r>
              <w:t>AMZN.NAS</w:t>
            </w:r>
          </w:p>
        </w:tc>
        <w:tc>
          <w:tcPr>
            <w:tcW w:type="dxa" w:w="3685"/>
          </w:tcPr>
          <w:p>
            <w:r>
              <w:t>AMAZON COM INC</w:t>
            </w:r>
          </w:p>
        </w:tc>
      </w:tr>
      <w:tr>
        <w:tc>
          <w:tcPr>
            <w:tcW w:type="dxa" w:w="1417"/>
          </w:tcPr>
          <w:p>
            <w:r>
              <w:t>JNJ.NYS</w:t>
            </w:r>
          </w:p>
        </w:tc>
        <w:tc>
          <w:tcPr>
            <w:tcW w:type="dxa" w:w="3685"/>
          </w:tcPr>
          <w:p>
            <w:r>
              <w:t>JOHNSON &amp; JOHNSON</w:t>
            </w:r>
          </w:p>
        </w:tc>
      </w:tr>
      <w:tr>
        <w:tc>
          <w:tcPr>
            <w:tcW w:type="dxa" w:w="1417"/>
          </w:tcPr>
          <w:p>
            <w:r>
              <w:t>UNH.NYS</w:t>
            </w:r>
          </w:p>
        </w:tc>
        <w:tc>
          <w:tcPr>
            <w:tcW w:type="dxa" w:w="3685"/>
          </w:tcPr>
          <w:p>
            <w:r>
              <w:t>UNITEDHEALTH GROUP INC</w:t>
            </w:r>
          </w:p>
        </w:tc>
      </w:tr>
      <w:tr>
        <w:tc>
          <w:tcPr>
            <w:tcW w:type="dxa" w:w="1417"/>
          </w:tcPr>
          <w:p>
            <w:r>
              <w:t>ABBV.NYS</w:t>
            </w:r>
          </w:p>
        </w:tc>
        <w:tc>
          <w:tcPr>
            <w:tcW w:type="dxa" w:w="3685"/>
          </w:tcPr>
          <w:p>
            <w:r>
              <w:t>ABBVIE INC</w:t>
            </w:r>
          </w:p>
        </w:tc>
      </w:tr>
      <w:tr>
        <w:tc>
          <w:tcPr>
            <w:tcW w:type="dxa" w:w="1417"/>
          </w:tcPr>
          <w:p>
            <w:r>
              <w:t>META.NAS</w:t>
            </w:r>
          </w:p>
        </w:tc>
        <w:tc>
          <w:tcPr>
            <w:tcW w:type="dxa" w:w="3685"/>
          </w:tcPr>
          <w:p>
            <w:r>
              <w:t>META PLATFORMS INC CLASS A</w:t>
            </w:r>
          </w:p>
        </w:tc>
      </w:tr>
      <w:tr>
        <w:tc>
          <w:tcPr>
            <w:tcW w:type="dxa" w:w="1417"/>
          </w:tcPr>
          <w:p>
            <w:r>
              <w:t>NOVO-B.CSE</w:t>
            </w:r>
          </w:p>
        </w:tc>
        <w:tc>
          <w:tcPr>
            <w:tcW w:type="dxa" w:w="3685"/>
          </w:tcPr>
          <w:p>
            <w:r>
              <w:t>NOVO NORDISK CLASS B</w:t>
            </w:r>
          </w:p>
        </w:tc>
      </w:tr>
    </w:tbl>
    <w:br w:type="column"/>
    <w:p>
      <w:pPr>
        <w:pStyle w:val="Heading30"/>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0"/>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0"/>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0"/>
      </w:pPr>
      <w:r>
        <w:t>Asset Class Performance</w:t>
      </w:r>
    </w:p>
    <w:tbl>
      <w:tblPr>
        <w:tblStyle w:val="AtchisonTable1"/>
        <w:tblW w:type="auto" w:w="0"/>
        <w:tblLook w:firstColumn="1" w:firstRow="1" w:lastColumn="0" w:lastRow="0" w:noHBand="0" w:noVBand="1" w:val="04A0"/>
      </w:tblPr>
      <w:tblGrid>
        <w:gridCol w:w="5527"/>
        <w:gridCol w:w="5527"/>
      </w:tblGrid>
      <w:tr>
        <w:tc>
          <w:tcPr>
            <w:tcW w:type="dxa" w:w="1984"/>
          </w:tcPr>
          <w:p>
            <w:r>
              <w:rPr>
                <w:b/>
              </w:rPr>
              <w:t>Period</w:t>
            </w:r>
          </w:p>
        </w:tc>
        <w:tc>
          <w:tcPr>
            <w:tcW w:type="dxa" w:w="3118"/>
          </w:tcPr>
          <w:p>
            <w:r>
              <w:rPr>
                <w:b/>
              </w:rPr>
              <w:t>1 Year</w:t>
            </w:r>
          </w:p>
        </w:tc>
      </w:tr>
      <w:tr>
        <w:tc>
          <w:tcPr>
            <w:tcW w:type="dxa" w:w="1984"/>
          </w:tcPr>
          <w:p>
            <w:r>
              <w:t>Australian Shares</w:t>
            </w:r>
          </w:p>
        </w:tc>
        <w:tc>
          <w:tcPr>
            <w:tcW w:type="dxa" w:w="3118"/>
          </w:tcPr>
          <w:p>
            <w:r>
              <w:t>12.78</w:t>
            </w:r>
          </w:p>
        </w:tc>
      </w:tr>
      <w:tr>
        <w:tc>
          <w:tcPr>
            <w:tcW w:type="dxa" w:w="1984"/>
          </w:tcPr>
          <w:p>
            <w:r>
              <w:t>International Shares</w:t>
            </w:r>
          </w:p>
        </w:tc>
        <w:tc>
          <w:tcPr>
            <w:tcW w:type="dxa" w:w="3118"/>
          </w:tcPr>
          <w:p>
            <w:r>
              <w:t>11.7</w:t>
            </w:r>
          </w:p>
        </w:tc>
      </w:tr>
      <w:tr>
        <w:tc>
          <w:tcPr>
            <w:tcW w:type="dxa" w:w="1984"/>
          </w:tcPr>
          <w:p>
            <w:r>
              <w:t>Real Assets</w:t>
            </w:r>
          </w:p>
        </w:tc>
        <w:tc>
          <w:tcPr>
            <w:tcW w:type="dxa" w:w="3118"/>
          </w:tcPr>
          <w:p>
            <w:r>
              <w:t>8.51</w:t>
            </w:r>
          </w:p>
        </w:tc>
      </w:tr>
      <w:tr>
        <w:tc>
          <w:tcPr>
            <w:tcW w:type="dxa" w:w="1984"/>
          </w:tcPr>
          <w:p>
            <w:r>
              <w:t>Alternatives</w:t>
            </w:r>
          </w:p>
        </w:tc>
        <w:tc>
          <w:tcPr>
            <w:tcW w:type="dxa" w:w="3118"/>
          </w:tcPr>
          <w:p>
            <w:r>
              <w:t>5.59</w:t>
            </w:r>
          </w:p>
        </w:tc>
      </w:tr>
      <w:tr>
        <w:tc>
          <w:tcPr>
            <w:tcW w:type="dxa" w:w="1984"/>
          </w:tcPr>
          <w:p>
            <w:r>
              <w:t>Long Duration</w:t>
            </w:r>
          </w:p>
        </w:tc>
        <w:tc>
          <w:tcPr>
            <w:tcW w:type="dxa" w:w="3118"/>
          </w:tcPr>
          <w:p>
            <w:r>
              <w:t>4.67</w:t>
            </w:r>
          </w:p>
        </w:tc>
      </w:tr>
      <w:tr>
        <w:tc>
          <w:tcPr>
            <w:tcW w:type="dxa" w:w="1984"/>
          </w:tcPr>
          <w:p>
            <w:r>
              <w:t>Floating Rate</w:t>
            </w:r>
          </w:p>
        </w:tc>
        <w:tc>
          <w:tcPr>
            <w:tcW w:type="dxa" w:w="3118"/>
          </w:tcPr>
          <w:p>
            <w:r>
              <w:t>-0.08</w:t>
            </w:r>
          </w:p>
        </w:tc>
      </w:tr>
      <w:tr>
        <w:tc>
          <w:tcPr>
            <w:tcW w:type="dxa" w:w="1984"/>
          </w:tcPr>
          <w:p>
            <w:r>
              <w:t>Cash</w:t>
            </w:r>
          </w:p>
        </w:tc>
        <w:tc>
          <w:tcPr>
            <w:tcW w:type="dxa" w:w="3118"/>
          </w:tcPr>
          <w:p>
            <w:r>
              <w:t>4.75</w:t>
            </w:r>
          </w:p>
        </w:tc>
      </w:tr>
    </w:tbl>
    <w:p>
      <w:pPr>
        <w:pStyle w:val="Note"/>
      </w:pPr>
      <w:r>
        <w:t>Inception Date: 30 September 2023</w:t>
      </w:r>
    </w:p>
    <w:p>
      <w:pPr>
        <w:pStyle w:val="Heading30"/>
      </w:pPr>
      <w:r>
        <w:t>Portfolio Construction</w:t>
      </w:r>
    </w:p>
    <w:p>
      <w:r>
        <w:drawing>
          <wp:inline xmlns:a="http://schemas.openxmlformats.org/drawingml/2006/main" xmlns:pic="http://schemas.openxmlformats.org/drawingml/2006/picture">
            <wp:extent cx="3240000" cy="3240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3240000"/>
                    </a:xfrm>
                    <a:prstGeom prst="rect"/>
                  </pic:spPr>
                </pic:pic>
              </a:graphicData>
            </a:graphic>
          </wp:inline>
        </w:drawing>
      </w:r>
    </w:p>
    <w:p>
      <w:pPr>
        <w:pStyle w:val="Heading30"/>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0"/>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0"/>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ASX Small Ords</w:t>
            </w:r>
          </w:p>
        </w:tc>
        <w:tc>
          <w:tcPr>
            <w:tcW w:type="dxa" w:w="1417"/>
          </w:tcPr>
          <w:p>
            <w:r>
              <w:t>8.06</w:t>
            </w:r>
          </w:p>
        </w:tc>
        <w:tc>
          <w:tcPr>
            <w:tcW w:type="dxa" w:w="1417"/>
          </w:tcPr>
          <w:p>
            <w:r>
              <w:t>10.04</w:t>
            </w:r>
          </w:p>
        </w:tc>
      </w:tr>
      <w:tr>
        <w:tc>
          <w:tcPr>
            <w:tcW w:type="dxa" w:w="2268"/>
          </w:tcPr>
          <w:p>
            <w:r>
              <w:t>VanEck Aus Midcap</w:t>
            </w:r>
          </w:p>
        </w:tc>
        <w:tc>
          <w:tcPr>
            <w:tcW w:type="dxa" w:w="1417"/>
          </w:tcPr>
          <w:p>
            <w:r>
              <w:t>13.5</w:t>
            </w:r>
          </w:p>
        </w:tc>
        <w:tc>
          <w:tcPr>
            <w:tcW w:type="dxa" w:w="1417"/>
          </w:tcPr>
          <w:p>
            <w:r>
              <w:t>11.28</w:t>
            </w:r>
          </w:p>
        </w:tc>
      </w:tr>
      <w:tr>
        <w:tc>
          <w:tcPr>
            <w:tcW w:type="dxa" w:w="2268"/>
          </w:tcPr>
          <w:p>
            <w:r>
              <w:t>SPDR ASX 50</w:t>
            </w:r>
          </w:p>
        </w:tc>
        <w:tc>
          <w:tcPr>
            <w:tcW w:type="dxa" w:w="1417"/>
          </w:tcPr>
          <w:p>
            <w:r>
              <w:t>13.57</w:t>
            </w:r>
          </w:p>
        </w:tc>
        <w:tc>
          <w:tcPr>
            <w:tcW w:type="dxa" w:w="1417"/>
          </w:tcPr>
          <w:p>
            <w:r>
              <w:t>12.38</w:t>
            </w:r>
          </w:p>
        </w:tc>
      </w:tr>
      <w:tr>
        <w:tc>
          <w:tcPr>
            <w:tcW w:type="dxa" w:w="2268"/>
          </w:tcPr>
          <w:p>
            <w:r>
              <w:t>Aus Small</w:t>
            </w:r>
          </w:p>
        </w:tc>
        <w:tc>
          <w:tcPr>
            <w:tcW w:type="dxa" w:w="1417"/>
          </w:tcPr>
          <w:p>
            <w:r>
              <w:t>12.32</w:t>
            </w:r>
          </w:p>
        </w:tc>
        <w:tc>
          <w:tcPr>
            <w:tcW w:type="dxa" w:w="1417"/>
          </w:tcPr>
          <w:p>
            <w:r>
              <w:t>10.42</w:t>
            </w:r>
          </w:p>
        </w:tc>
      </w:tr>
      <w:tr>
        <w:tc>
          <w:tcPr>
            <w:tcW w:type="dxa" w:w="2268"/>
          </w:tcPr>
          <w:p>
            <w:r>
              <w:rPr>
                <w:b/>
              </w:rPr>
              <w:t>BM: Australian Shares</w:t>
            </w:r>
          </w:p>
        </w:tc>
        <w:tc>
          <w:tcPr>
            <w:tcW w:type="dxa" w:w="1417"/>
          </w:tcPr>
          <w:p>
            <w:r>
              <w:rPr>
                <w:b/>
              </w:rPr>
              <w:t>13.24</w:t>
            </w:r>
          </w:p>
        </w:tc>
        <w:tc>
          <w:tcPr>
            <w:tcW w:type="dxa" w:w="1417"/>
          </w:tcPr>
          <w:p>
            <w:r>
              <w:rPr>
                <w:b/>
              </w:rPr>
              <w:t>12.48</w:t>
            </w:r>
          </w:p>
        </w:tc>
      </w:tr>
      <w:tr>
        <w:tc>
          <w:tcPr>
            <w:tcW w:type="dxa" w:w="2268"/>
          </w:tcPr>
          <w:p>
            <w:r>
              <w:t>VG MSCI World</w:t>
            </w:r>
          </w:p>
        </w:tc>
        <w:tc>
          <w:tcPr>
            <w:tcW w:type="dxa" w:w="1417"/>
          </w:tcPr>
          <w:p>
            <w:r>
              <w:t>18.26</w:t>
            </w:r>
          </w:p>
        </w:tc>
        <w:tc>
          <w:tcPr>
            <w:tcW w:type="dxa" w:w="1417"/>
          </w:tcPr>
          <w:p>
            <w:r>
              <w:t>17.98</w:t>
            </w:r>
          </w:p>
        </w:tc>
      </w:tr>
      <w:tr>
        <w:tc>
          <w:tcPr>
            <w:tcW w:type="dxa" w:w="2268"/>
          </w:tcPr>
          <w:p>
            <w:r>
              <w:t>BetaShares Global ESG</w:t>
            </w:r>
          </w:p>
        </w:tc>
        <w:tc>
          <w:tcPr>
            <w:tcW w:type="dxa" w:w="1417"/>
          </w:tcPr>
          <w:p>
            <w:r>
              <w:t>11.96</w:t>
            </w:r>
          </w:p>
        </w:tc>
        <w:tc>
          <w:tcPr>
            <w:tcW w:type="dxa" w:w="1417"/>
          </w:tcPr>
          <w:p>
            <w:r>
              <w:t>15.31</w:t>
            </w:r>
          </w:p>
        </w:tc>
      </w:tr>
      <w:tr>
        <w:tc>
          <w:tcPr>
            <w:tcW w:type="dxa" w:w="2268"/>
          </w:tcPr>
          <w:p>
            <w:r>
              <w:t>iShares Global Health</w:t>
            </w:r>
          </w:p>
        </w:tc>
        <w:tc>
          <w:tcPr>
            <w:tcW w:type="dxa" w:w="1417"/>
          </w:tcPr>
          <w:p>
            <w:r>
              <w:t>-1.86</w:t>
            </w:r>
          </w:p>
        </w:tc>
        <w:tc>
          <w:tcPr>
            <w:tcW w:type="dxa" w:w="1417"/>
          </w:tcPr>
          <w:p>
            <w:r>
              <w:t>2.33</w:t>
            </w:r>
          </w:p>
        </w:tc>
      </w:tr>
      <w:tr>
        <w:tc>
          <w:tcPr>
            <w:tcW w:type="dxa" w:w="2268"/>
          </w:tcPr>
          <w:p>
            <w:r>
              <w:t>VanEck Glb Small Qual</w:t>
            </w:r>
          </w:p>
        </w:tc>
        <w:tc>
          <w:tcPr>
            <w:tcW w:type="dxa" w:w="1417"/>
          </w:tcPr>
          <w:p>
            <w:r>
              <w:t>7.2</w:t>
            </w:r>
          </w:p>
        </w:tc>
        <w:tc>
          <w:tcPr>
            <w:tcW w:type="dxa" w:w="1417"/>
          </w:tcPr>
          <w:p>
            <w:r>
              <w:t>13.25</w:t>
            </w:r>
          </w:p>
        </w:tc>
      </w:tr>
      <w:tr>
        <w:tc>
          <w:tcPr>
            <w:tcW w:type="dxa" w:w="2268"/>
          </w:tcPr>
          <w:p>
            <w:r>
              <w:t>Betashares Rps</w:t>
            </w:r>
          </w:p>
        </w:tc>
        <w:tc>
          <w:tcPr>
            <w:tcW w:type="dxa" w:w="1417"/>
          </w:tcPr>
          <w:p>
            <w:r>
              <w:t>-8.22</w:t>
            </w:r>
          </w:p>
        </w:tc>
        <w:tc>
          <w:tcPr>
            <w:tcW w:type="dxa" w:w="1417"/>
          </w:tcPr>
          <w:p>
            <w:r>
              <w:t>0.13</w:t>
            </w:r>
          </w:p>
        </w:tc>
      </w:tr>
      <w:tr>
        <w:tc>
          <w:tcPr>
            <w:tcW w:type="dxa" w:w="2268"/>
          </w:tcPr>
          <w:p>
            <w:r>
              <w:rPr>
                <w:b/>
              </w:rPr>
              <w:t>BM: International Shares</w:t>
            </w:r>
          </w:p>
        </w:tc>
        <w:tc>
          <w:tcPr>
            <w:tcW w:type="dxa" w:w="1417"/>
          </w:tcPr>
          <w:p>
            <w:r>
              <w:rPr>
                <w:b/>
              </w:rPr>
              <w:t>17.73</w:t>
            </w:r>
          </w:p>
        </w:tc>
        <w:tc>
          <w:tcPr>
            <w:tcW w:type="dxa" w:w="1417"/>
          </w:tcPr>
          <w:p>
            <w:r>
              <w:rPr>
                <w:b/>
              </w:rPr>
              <w:t>17.17</w:t>
            </w:r>
          </w:p>
        </w:tc>
      </w:tr>
      <w:tr>
        <w:tc>
          <w:tcPr>
            <w:tcW w:type="dxa" w:w="2268"/>
          </w:tcPr>
          <w:p>
            <w:r>
              <w:t>VG AREIT</w:t>
            </w:r>
          </w:p>
        </w:tc>
        <w:tc>
          <w:tcPr>
            <w:tcW w:type="dxa" w:w="1417"/>
          </w:tcPr>
          <w:p>
            <w:r>
              <w:t>11.53</w:t>
            </w:r>
          </w:p>
        </w:tc>
        <w:tc>
          <w:tcPr>
            <w:tcW w:type="dxa" w:w="1417"/>
          </w:tcPr>
          <w:p>
            <w:r>
              <w:t>18.68</w:t>
            </w:r>
          </w:p>
        </w:tc>
      </w:tr>
      <w:tr>
        <w:tc>
          <w:tcPr>
            <w:tcW w:type="dxa" w:w="2268"/>
          </w:tcPr>
          <w:p>
            <w:r>
              <w:t>VanEck GREIT</w:t>
            </w:r>
          </w:p>
        </w:tc>
        <w:tc>
          <w:tcPr>
            <w:tcW w:type="dxa" w:w="1417"/>
          </w:tcPr>
          <w:p>
            <w:r>
              <w:t>10.59</w:t>
            </w:r>
          </w:p>
        </w:tc>
        <w:tc>
          <w:tcPr>
            <w:tcW w:type="dxa" w:w="1417"/>
          </w:tcPr>
          <w:p>
            <w:r>
              <w:t>9.17</w:t>
            </w:r>
          </w:p>
        </w:tc>
      </w:tr>
      <w:tr>
        <w:tc>
          <w:tcPr>
            <w:tcW w:type="dxa" w:w="2268"/>
          </w:tcPr>
          <w:p>
            <w:r>
              <w:rPr>
                <w:b/>
              </w:rPr>
              <w:t>BM: Real Assets</w:t>
            </w:r>
          </w:p>
        </w:tc>
        <w:tc>
          <w:tcPr>
            <w:tcW w:type="dxa" w:w="1417"/>
          </w:tcPr>
          <w:p>
            <w:r>
              <w:rPr>
                <w:b/>
              </w:rPr>
              <w:t>8.55</w:t>
            </w:r>
          </w:p>
        </w:tc>
        <w:tc>
          <w:tcPr>
            <w:tcW w:type="dxa" w:w="1417"/>
          </w:tcPr>
          <w:p>
            <w:r>
              <w:rPr>
                <w:b/>
              </w:rPr>
              <w:t>10.63</w:t>
            </w:r>
          </w:p>
        </w:tc>
      </w:tr>
      <w:tr>
        <w:tc>
          <w:tcPr>
            <w:tcW w:type="dxa" w:w="2268"/>
          </w:tcPr>
          <w:p>
            <w:r>
              <w:t>VE MOAT</w:t>
            </w:r>
          </w:p>
        </w:tc>
        <w:tc>
          <w:tcPr>
            <w:tcW w:type="dxa" w:w="1417"/>
          </w:tcPr>
          <w:p>
            <w:r>
              <w:t>9.31</w:t>
            </w:r>
          </w:p>
        </w:tc>
        <w:tc>
          <w:tcPr>
            <w:tcW w:type="dxa" w:w="1417"/>
          </w:tcPr>
          <w:p>
            <w:r>
              <w:t>9.93</w:t>
            </w:r>
          </w:p>
        </w:tc>
      </w:tr>
      <w:tr>
        <w:tc>
          <w:tcPr>
            <w:tcW w:type="dxa" w:w="2268"/>
          </w:tcPr>
          <w:p>
            <w:r>
              <w:t>BetaShares Robotics AI</w:t>
            </w:r>
          </w:p>
        </w:tc>
        <w:tc>
          <w:tcPr>
            <w:tcW w:type="dxa" w:w="1417"/>
          </w:tcPr>
          <w:p>
            <w:r>
              <w:t>5.22</w:t>
            </w:r>
          </w:p>
        </w:tc>
        <w:tc>
          <w:tcPr>
            <w:tcW w:type="dxa" w:w="1417"/>
          </w:tcPr>
          <w:p>
            <w:r>
              <w:t>12.58</w:t>
            </w:r>
          </w:p>
        </w:tc>
      </w:tr>
      <w:tr>
        <w:tc>
          <w:tcPr>
            <w:tcW w:type="dxa" w:w="2268"/>
          </w:tcPr>
          <w:p>
            <w:r>
              <w:t>ETFS Physical Gold</w:t>
            </w:r>
          </w:p>
        </w:tc>
        <w:tc>
          <w:tcPr>
            <w:tcW w:type="dxa" w:w="1417"/>
          </w:tcPr>
          <w:p>
            <w:r>
              <w:t>44.78</w:t>
            </w:r>
          </w:p>
        </w:tc>
        <w:tc>
          <w:tcPr>
            <w:tcW w:type="dxa" w:w="1417"/>
          </w:tcPr>
          <w:p>
            <w:r>
              <w:t>32.75</w:t>
            </w:r>
          </w:p>
        </w:tc>
      </w:tr>
      <w:tr>
        <w:tc>
          <w:tcPr>
            <w:tcW w:type="dxa" w:w="2268"/>
          </w:tcPr>
          <w:p>
            <w:r>
              <w:t>GlobX US Biotech</w:t>
            </w:r>
          </w:p>
        </w:tc>
        <w:tc>
          <w:tcPr>
            <w:tcW w:type="dxa" w:w="1417"/>
          </w:tcPr>
          <w:p>
            <w:r>
              <w:t>-6.93</w:t>
            </w:r>
          </w:p>
        </w:tc>
        <w:tc>
          <w:tcPr>
            <w:tcW w:type="dxa" w:w="1417"/>
          </w:tcPr>
          <w:p>
            <w:r>
              <w:t>4.21</w:t>
            </w:r>
          </w:p>
        </w:tc>
      </w:tr>
      <w:tr>
        <w:tc>
          <w:tcPr>
            <w:tcW w:type="dxa" w:w="2268"/>
          </w:tcPr>
          <w:p>
            <w:r>
              <w:rPr>
                <w:b/>
              </w:rPr>
              <w:t>BM: Alternatives</w:t>
            </w:r>
          </w:p>
        </w:tc>
        <w:tc>
          <w:tcPr>
            <w:tcW w:type="dxa" w:w="1417"/>
          </w:tcPr>
          <w:p>
            <w:r>
              <w:rPr>
                <w:b/>
              </w:rPr>
              <w:t>4.51</w:t>
            </w:r>
          </w:p>
        </w:tc>
        <w:tc>
          <w:tcPr>
            <w:tcW w:type="dxa" w:w="1417"/>
          </w:tcPr>
          <w:p>
            <w:r>
              <w:rPr>
                <w:b/>
              </w:rPr>
              <w:t>3.75</w:t>
            </w:r>
          </w:p>
        </w:tc>
      </w:tr>
      <w:tr>
        <w:tc>
          <w:tcPr>
            <w:tcW w:type="dxa" w:w="2268"/>
          </w:tcPr>
          <w:p>
            <w:r>
              <w:t>iShares Aus Bond</w:t>
            </w:r>
          </w:p>
        </w:tc>
        <w:tc>
          <w:tcPr>
            <w:tcW w:type="dxa" w:w="1417"/>
          </w:tcPr>
          <w:p>
            <w:r>
              <w:t>6.47</w:t>
            </w:r>
          </w:p>
        </w:tc>
        <w:tc>
          <w:tcPr>
            <w:tcW w:type="dxa" w:w="1417"/>
          </w:tcPr>
          <w:p>
            <w:r>
              <w:t>4.79</w:t>
            </w:r>
          </w:p>
        </w:tc>
      </w:tr>
      <w:tr>
        <w:tc>
          <w:tcPr>
            <w:tcW w:type="dxa" w:w="2268"/>
          </w:tcPr>
          <w:p>
            <w:r>
              <w:t>iShares Gov Bond</w:t>
            </w:r>
          </w:p>
        </w:tc>
        <w:tc>
          <w:tcPr>
            <w:tcW w:type="dxa" w:w="1417"/>
          </w:tcPr>
          <w:p>
            <w:r>
              <w:t>5.86</w:t>
            </w:r>
          </w:p>
        </w:tc>
        <w:tc>
          <w:tcPr>
            <w:tcW w:type="dxa" w:w="1417"/>
          </w:tcPr>
          <w:p>
            <w:r>
              <w:t>4.47</w:t>
            </w:r>
          </w:p>
        </w:tc>
      </w:tr>
      <w:tr>
        <w:tc>
          <w:tcPr>
            <w:tcW w:type="dxa" w:w="2268"/>
          </w:tcPr>
          <w:p>
            <w:r>
              <w:t>VG int FI</w:t>
            </w:r>
          </w:p>
        </w:tc>
        <w:tc>
          <w:tcPr>
            <w:tcW w:type="dxa" w:w="1417"/>
          </w:tcPr>
          <w:p>
            <w:r>
              <w:t>4.44</w:t>
            </w:r>
          </w:p>
        </w:tc>
        <w:tc>
          <w:tcPr>
            <w:tcW w:type="dxa" w:w="1417"/>
          </w:tcPr>
          <w:p>
            <w:r>
              <w:t>3.62</w:t>
            </w:r>
          </w:p>
        </w:tc>
      </w:tr>
      <w:tr>
        <w:tc>
          <w:tcPr>
            <w:tcW w:type="dxa" w:w="2268"/>
          </w:tcPr>
          <w:p>
            <w:r>
              <w:rPr>
                <w:b/>
              </w:rPr>
              <w:t>BM: Duration</w:t>
            </w:r>
          </w:p>
        </w:tc>
        <w:tc>
          <w:tcPr>
            <w:tcW w:type="dxa" w:w="1417"/>
          </w:tcPr>
          <w:p>
            <w:r>
              <w:rPr>
                <w:b/>
              </w:rPr>
              <w:t>5.96</w:t>
            </w:r>
          </w:p>
        </w:tc>
        <w:tc>
          <w:tcPr>
            <w:tcW w:type="dxa" w:w="1417"/>
          </w:tcPr>
          <w:p>
            <w:r>
              <w:rPr>
                <w:b/>
              </w:rPr>
              <w:t>4.71</w:t>
            </w:r>
          </w:p>
        </w:tc>
      </w:tr>
      <w:tr>
        <w:tc>
          <w:tcPr>
            <w:tcW w:type="dxa" w:w="2268"/>
          </w:tcPr>
          <w:p>
            <w:r>
              <w:t>BetaShares Inv Grade ST</w:t>
            </w:r>
          </w:p>
        </w:tc>
        <w:tc>
          <w:tcPr>
            <w:tcW w:type="dxa" w:w="1417"/>
          </w:tcPr>
          <w:p>
            <w:r>
              <w:t>9.32</w:t>
            </w:r>
          </w:p>
        </w:tc>
        <w:tc>
          <w:tcPr>
            <w:tcW w:type="dxa" w:w="1417"/>
          </w:tcPr>
          <w:p>
            <w:r>
              <w:t>8.18</w:t>
            </w:r>
          </w:p>
        </w:tc>
      </w:tr>
      <w:tr>
        <w:tc>
          <w:tcPr>
            <w:tcW w:type="dxa" w:w="2268"/>
          </w:tcPr>
          <w:p>
            <w:r>
              <w:t>VanEck List Prv Cred</w:t>
            </w:r>
          </w:p>
        </w:tc>
        <w:tc>
          <w:tcPr>
            <w:tcW w:type="dxa" w:w="1417"/>
          </w:tcPr>
          <w:p>
            <w:r>
              <w:t>0.5</w:t>
            </w:r>
          </w:p>
        </w:tc>
        <w:tc>
          <w:tcPr>
            <w:tcW w:type="dxa" w:w="1417"/>
          </w:tcPr>
          <w:p>
            <w:r>
              <w:t>4.61</w:t>
            </w:r>
          </w:p>
        </w:tc>
      </w:tr>
      <w:tr>
        <w:tc>
          <w:tcPr>
            <w:tcW w:type="dxa" w:w="2268"/>
          </w:tcPr>
          <w:p>
            <w:r>
              <w:t>iShares US HY Cred</w:t>
            </w:r>
          </w:p>
        </w:tc>
        <w:tc>
          <w:tcPr>
            <w:tcW w:type="dxa" w:w="1417"/>
          </w:tcPr>
          <w:p>
            <w:r>
              <w:t>8.64</w:t>
            </w:r>
          </w:p>
        </w:tc>
        <w:tc>
          <w:tcPr>
            <w:tcW w:type="dxa" w:w="1417"/>
          </w:tcPr>
          <w:p>
            <w:r>
              <w:t>7.49</w:t>
            </w:r>
          </w:p>
        </w:tc>
      </w:tr>
      <w:tr>
        <w:tc>
          <w:tcPr>
            <w:tcW w:type="dxa" w:w="2268"/>
          </w:tcPr>
          <w:p>
            <w:r>
              <w:rPr>
                <w:b/>
              </w:rPr>
              <w:t>BM: Floating</w:t>
            </w:r>
          </w:p>
        </w:tc>
        <w:tc>
          <w:tcPr>
            <w:tcW w:type="dxa" w:w="1417"/>
          </w:tcPr>
          <w:p>
            <w:r>
              <w:rPr>
                <w:b/>
              </w:rPr>
              <w:t>5.12</w:t>
            </w:r>
          </w:p>
        </w:tc>
        <w:tc>
          <w:tcPr>
            <w:tcW w:type="dxa" w:w="1417"/>
          </w:tcPr>
          <w:p>
            <w:r>
              <w:rPr>
                <w:b/>
              </w:rPr>
              <w:t>4.39</w:t>
            </w:r>
          </w:p>
        </w:tc>
      </w:tr>
      <w:tr>
        <w:tc>
          <w:tcPr>
            <w:tcW w:type="dxa" w:w="2268"/>
          </w:tcPr>
          <w:p>
            <w:r>
              <w:t>Cash</w:t>
            </w:r>
          </w:p>
        </w:tc>
        <w:tc>
          <w:tcPr>
            <w:tcW w:type="dxa" w:w="1417"/>
          </w:tcPr>
          <w:p>
            <w:r>
              <w:t>4.51</w:t>
            </w:r>
          </w:p>
        </w:tc>
        <w:tc>
          <w:tcPr>
            <w:tcW w:type="dxa" w:w="1417"/>
          </w:tcPr>
          <w:p>
            <w:r>
              <w:t>3.75</w:t>
            </w:r>
          </w:p>
        </w:tc>
      </w:tr>
      <w:tr>
        <w:tc>
          <w:tcPr>
            <w:tcW w:type="dxa" w:w="2268"/>
          </w:tcPr>
          <w:p>
            <w:r>
              <w:t>Aus Cash Plus</w:t>
            </w:r>
          </w:p>
        </w:tc>
        <w:tc>
          <w:tcPr>
            <w:tcW w:type="dxa" w:w="1417"/>
          </w:tcPr>
          <w:p>
            <w:r>
              <w:t>4.84</w:t>
            </w:r>
          </w:p>
        </w:tc>
        <w:tc>
          <w:tcPr>
            <w:tcW w:type="dxa" w:w="1417"/>
          </w:tcPr>
          <w:p>
            <w:r>
              <w:t>2.49</w:t>
            </w:r>
          </w:p>
        </w:tc>
      </w:tr>
    </w:tbl>
    <w:p>
      <w:pPr>
        <w:pStyle w:val="Note"/>
      </w:pPr>
      <w:r>
        <w:t>Inception Date: 30 September 2023</w:t>
      </w:r>
    </w:p>
    <w:p>
      <w:pPr>
        <w:pStyle w:val="BodyStyle"/>
      </w:pPr>
      <w:r>
        <w:t>Underlying investment manager returns are shown after fees and before tax</w:t>
      </w:r>
    </w:p>
    <w:br w:type="column"/>
    <w:p>
      <w:pPr>
        <w:pStyle w:val="Heading20"/>
      </w:pPr>
      <w:r>
        <w:t>Market Update</w:t>
      </w:r>
    </w:p>
    <w:p>
      <w:pPr>
        <w:pStyle w:val="BodyStyle"/>
      </w:pPr>
      <w:r>
        <w:t>Smaller companies outperformed their broader counterparts, with the Small Ordinaries rising 6%, whilst the ASX 200 advanced 4%&lt;</w:t>
        <w:br/>
        <w:br/>
        <w:t>All sectors within the ASX 200 recorded gains. Information Technology led with a 20% jump, followed by Energy at 9%, while traditionally defensive sectors - Utilities, Consumer Staples, and Health Care lagged.</w:t>
        <w:br/>
        <w:br/>
        <w:t>All Australian factor indices ended the month in positive territory. Momentum, Equal Weight, and Growth factors outpaced others, whereas High Dividend and Value underperformed, echoing sector-level trends.</w:t>
        <w:br/>
        <w:br/>
        <w:t>China’s equity markets posted solid gains in May 2025, supported by tech earnings and fresh monetary easing, including rate and reserve ratio cuts. However, mixed economic data and external pressures, such as weaker U.S. exports, highlight ongoing structural and geopolitical challenges.</w:t>
        <w:br/>
        <w:br/>
        <w:t xml:space="preserve">U.S. equities staged a strong rebound in May, driven by renewed optimism over easing trade tensions. The S&amp;P 500 rose 6%, marking its best May performance since 1990. Solid earnings from major technology firms also propelled the rally. </w:t>
        <w:br/>
        <w:br/>
        <w:t>Most sectors registered gains, led by Information Technology and Communication Services, which rose 11% and 10% respectively. Health Care was the notable underperformer.</w:t>
        <w:br/>
        <w:br/>
        <w:t>Risk appetite continued to improve, with Momentum, High Beta, and Growth factors leading for the second consecutive month, reflecting a continued rotation away from defensiveness.</w:t>
        <w:br/>
        <w:br/>
        <w:t>European equities maintained their positive trajectory, with the European Index gaining approximately 11% year-to-date, outperforming the U.S. market. This performance was supported by easing trade tensions and investor optimism.</w:t>
        <w:br/>
        <w:br/>
        <w:t>In May, the RBA cut rates for the second time this year, and delivered a dovish outlook, but Australian bond yields still rose, driven by global market forces including rising yields in the U.S. and Japan.</w:t>
        <w:br/>
        <w:br/>
        <w:t>U.S. Treasury yields rose sharply following a weak 20-year note auction and persistent fiscal concerns. As a result, the U.S. Treasury Bond Index declined by 1% in May, its first monthly loss of the year.</w:t>
        <w:br/>
        <w:br/>
        <w:t>Within commodities, Energy and Livestock were standout performers. Meanwhile, safe-haven demand for Gold was mixed, leading to slight underperformance in Precious Metals over the month.</w:t>
        <w:br/>
        <w:br/>
      </w:r>
    </w:p>
    <w:p>
      <w:pPr>
        <w:pStyle w:val="Heading20"/>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1C33C8" w:rsidSect="000C01EB">
      <w:type w:val="continuous"/>
      <w:pgSz w:w="11900" w:h="16840" w:code="9"/>
      <w:pgMar w:top="0" w:right="420" w:bottom="0" w:left="425" w:header="0" w:footer="726" w:gutter="0"/>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F110" w14:textId="77777777" w:rsidR="00EC1404" w:rsidRDefault="00EC1404" w:rsidP="007B4373">
      <w:r>
        <w:separator/>
      </w:r>
    </w:p>
  </w:endnote>
  <w:endnote w:type="continuationSeparator" w:id="0">
    <w:p w14:paraId="7A11A369" w14:textId="77777777" w:rsidR="00EC1404" w:rsidRDefault="00EC1404"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173BF" w14:textId="77777777" w:rsidR="005B64E3" w:rsidRDefault="005B64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48599FFE" w:rsidR="0057386D" w:rsidRDefault="00DF12F7"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53366E12">
              <wp:simplePos x="0" y="0"/>
              <wp:positionH relativeFrom="margin">
                <wp:posOffset>0</wp:posOffset>
              </wp:positionH>
              <wp:positionV relativeFrom="page">
                <wp:posOffset>10124440</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C66C28D" id="Straight Connector 9" o:spid="_x0000_s1026" style="position:absolute;flip:y;z-index:251649536;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7.2pt" to="546pt,7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654656" behindDoc="0" locked="0" layoutInCell="1" allowOverlap="1" wp14:anchorId="2E8614D7" wp14:editId="315BA938">
              <wp:simplePos x="0" y="0"/>
              <wp:positionH relativeFrom="column">
                <wp:posOffset>6587490</wp:posOffset>
              </wp:positionH>
              <wp:positionV relativeFrom="page">
                <wp:posOffset>10172700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801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2B309A7B" w:rsidR="005F6BD8" w:rsidRDefault="002976D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627120AF">
              <wp:simplePos x="0" y="0"/>
              <wp:positionH relativeFrom="margin">
                <wp:posOffset>0</wp:posOffset>
              </wp:positionH>
              <wp:positionV relativeFrom="page">
                <wp:posOffset>10095865</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B234CCC"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margin;mso-position-vertical:absolute;mso-position-vertical-relative:page;mso-width-percent:0;mso-height-percent:0;mso-width-relative:page;mso-height-relative:page" from="0,794.95pt" to="535.5pt,79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" strokecolor="#3d545e" strokeweight=".5pt">
              <v:stroke joinstyle="miter"/>
              <o:lock v:ext="edit" shapetype="f"/>
              <w10:wrap anchorx="margin" anchory="page"/>
            </v:line>
          </w:pict>
        </mc:Fallback>
      </mc:AlternateContent>
    </w:r>
    <w:r>
      <w:rPr>
        <w:noProof/>
      </w:rPr>
      <mc:AlternateContent>
        <mc:Choice Requires="wps">
          <w:drawing>
            <wp:anchor distT="0" distB="0" distL="114300" distR="114300" simplePos="0" relativeHeight="251720192" behindDoc="0" locked="0" layoutInCell="1" allowOverlap="1" wp14:anchorId="49980B01" wp14:editId="02A3271F">
              <wp:simplePos x="0" y="0"/>
              <wp:positionH relativeFrom="column">
                <wp:posOffset>5968365</wp:posOffset>
              </wp:positionH>
              <wp:positionV relativeFrom="page">
                <wp:posOffset>10187305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802.1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7EB" w14:textId="77777777" w:rsidR="00EC1404" w:rsidRDefault="00EC1404" w:rsidP="007B4373">
      <w:r>
        <w:separator/>
      </w:r>
    </w:p>
  </w:footnote>
  <w:footnote w:type="continuationSeparator" w:id="0">
    <w:p w14:paraId="32251D29" w14:textId="77777777" w:rsidR="00EC1404" w:rsidRDefault="00EC1404"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B7E6" w14:textId="77777777" w:rsidR="005B64E3" w:rsidRDefault="005B64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03A" w14:textId="77777777" w:rsidR="005B64E3" w:rsidRDefault="005B64E3">
    <w:pPr>
      <w:rPr>
        <w:sz w:val="36"/>
        <w:szCs w:val="32"/>
      </w:rPr>
    </w:pPr>
  </w:p>
  <w:p w14:paraId="1A2E350C" w14:textId="724ED1AC" w:rsidR="001C33C8" w:rsidRDefault="00844973">
    <w:r w:rsidRPr="005A6718">
      <w:rPr>
        <w:b/>
        <w:bCs/>
        <w:noProof/>
      </w:rPr>
      <w:drawing>
        <wp:anchor distT="0" distB="288290" distL="0" distR="0" simplePos="0" relativeHeight="251724288" behindDoc="1" locked="0" layoutInCell="1" allowOverlap="1" wp14:anchorId="46544061" wp14:editId="2A81C8E8">
          <wp:simplePos x="0" y="0"/>
          <wp:positionH relativeFrom="page">
            <wp:posOffset>0</wp:posOffset>
          </wp:positionH>
          <wp:positionV relativeFrom="page">
            <wp:posOffset>-76200</wp:posOffset>
          </wp:positionV>
          <wp:extent cx="7559675" cy="1702435"/>
          <wp:effectExtent l="0" t="0" r="3175" b="0"/>
          <wp:wrapNone/>
          <wp:docPr id="707376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7024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BB94FC" w14:textId="77777777" w:rsidR="001C33C8" w:rsidRDefault="001C33C8"/>
  <w:p w14:paraId="4DCA8871" w14:textId="77777777" w:rsidR="001C33C8" w:rsidRDefault="001C33C8"/>
  <w:p w14:paraId="7664C6BC" w14:textId="77777777" w:rsidR="001C33C8" w:rsidRDefault="001C33C8"/>
  <w:p w14:paraId="28C28B14" w14:textId="77777777" w:rsidR="001C33C8" w:rsidRDefault="001C33C8"/>
  <w:p w14:paraId="1F390310" w14:textId="77777777" w:rsidR="001C33C8" w:rsidRDefault="001C33C8"/>
  <w:p w14:paraId="06CE26D7" w14:textId="77777777" w:rsidR="001C33C8" w:rsidRDefault="001C33C8"/>
  <w:p w14:paraId="0ACFE8D4" w14:textId="77777777" w:rsidR="001C33C8" w:rsidRDefault="001C33C8"/>
  <w:p w14:paraId="2DC183F1" w14:textId="77777777" w:rsidR="001C33C8" w:rsidRDefault="001C33C8"/>
  <w:p w14:paraId="35035C8C" w14:textId="093754A3" w:rsidR="00D67117" w:rsidRDefault="00D6711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118496720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3148"/>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01EB"/>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C33C8"/>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54BE"/>
    <w:rsid w:val="002669A4"/>
    <w:rsid w:val="00273AFA"/>
    <w:rsid w:val="00296F75"/>
    <w:rsid w:val="002976D3"/>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4951"/>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06F"/>
    <w:rsid w:val="0051469E"/>
    <w:rsid w:val="00517E90"/>
    <w:rsid w:val="00521981"/>
    <w:rsid w:val="005250C4"/>
    <w:rsid w:val="00544C13"/>
    <w:rsid w:val="005460DA"/>
    <w:rsid w:val="0056683C"/>
    <w:rsid w:val="00567CEE"/>
    <w:rsid w:val="0057386D"/>
    <w:rsid w:val="0058272A"/>
    <w:rsid w:val="00582FF9"/>
    <w:rsid w:val="0059421B"/>
    <w:rsid w:val="00595E5D"/>
    <w:rsid w:val="005961BD"/>
    <w:rsid w:val="005968B1"/>
    <w:rsid w:val="005A0EF5"/>
    <w:rsid w:val="005A237C"/>
    <w:rsid w:val="005A26E3"/>
    <w:rsid w:val="005A45D0"/>
    <w:rsid w:val="005B0B31"/>
    <w:rsid w:val="005B64E3"/>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3A9C"/>
    <w:rsid w:val="00736F70"/>
    <w:rsid w:val="00744F32"/>
    <w:rsid w:val="007516EF"/>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0868"/>
    <w:rsid w:val="00804D15"/>
    <w:rsid w:val="008246D8"/>
    <w:rsid w:val="00824E97"/>
    <w:rsid w:val="00825259"/>
    <w:rsid w:val="00834DA8"/>
    <w:rsid w:val="00837192"/>
    <w:rsid w:val="00844973"/>
    <w:rsid w:val="0084698F"/>
    <w:rsid w:val="00846DA6"/>
    <w:rsid w:val="00846E9E"/>
    <w:rsid w:val="008505BC"/>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3DAD"/>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8410E"/>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447B"/>
    <w:rsid w:val="00D86C13"/>
    <w:rsid w:val="00D95C05"/>
    <w:rsid w:val="00DA335B"/>
    <w:rsid w:val="00DA62BD"/>
    <w:rsid w:val="00DB3D87"/>
    <w:rsid w:val="00DC7252"/>
    <w:rsid w:val="00DD0C88"/>
    <w:rsid w:val="00DD3C69"/>
    <w:rsid w:val="00DD4AF2"/>
    <w:rsid w:val="00DD5F51"/>
    <w:rsid w:val="00DD739B"/>
    <w:rsid w:val="00DE2A58"/>
    <w:rsid w:val="00DF12F7"/>
    <w:rsid w:val="00DF422E"/>
    <w:rsid w:val="00E10391"/>
    <w:rsid w:val="00E20344"/>
    <w:rsid w:val="00E22922"/>
    <w:rsid w:val="00E2313F"/>
    <w:rsid w:val="00E23AB5"/>
    <w:rsid w:val="00E34E9E"/>
    <w:rsid w:val="00E5036A"/>
    <w:rsid w:val="00E543AD"/>
    <w:rsid w:val="00E54C89"/>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C1404"/>
    <w:rsid w:val="00EC148D"/>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0">
    <w:name w:val="Heading1"/>
    <w:basedOn w:val="Heading1"/>
    <w:qFormat/>
    <w:rsid w:val="008F3DAD"/>
    <w:pPr>
      <w:numPr>
        <w:numId w:val="0"/>
      </w:numPr>
      <w:spacing w:before="240" w:after="120"/>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Heading30">
    <w:name w:val="Heading3"/>
    <w:basedOn w:val="Normal"/>
    <w:link w:val="Heading3Char0"/>
    <w:qFormat/>
    <w:rsid w:val="00800868"/>
    <w:pPr>
      <w:spacing w:before="240"/>
    </w:pPr>
    <w:rPr>
      <w:b/>
      <w:i/>
      <w:color w:val="75C104" w:themeColor="accent6"/>
      <w:sz w:val="18"/>
    </w:rPr>
  </w:style>
  <w:style w:type="character" w:customStyle="1" w:styleId="Heading3Char0">
    <w:name w:val="Heading3 Char"/>
    <w:basedOn w:val="DefaultParagraphFont"/>
    <w:link w:val="Heading30"/>
    <w:rsid w:val="00800868"/>
    <w:rPr>
      <w:rFonts w:cs="Times New Roman (Body CS)"/>
      <w:b/>
      <w:i/>
      <w:color w:val="75C104" w:themeColor="accent6"/>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C148D"/>
    <w:rPr>
      <w:i/>
      <w:color w:val="1C5F69"/>
      <w:sz w:val="16"/>
    </w:rPr>
  </w:style>
  <w:style w:type="character" w:customStyle="1" w:styleId="NoteChar">
    <w:name w:val="Note Char"/>
    <w:basedOn w:val="DefaultParagraphFont"/>
    <w:link w:val="Note"/>
    <w:rsid w:val="00EC148D"/>
    <w:rPr>
      <w:rFonts w:cs="Times New Roman (Body CS)"/>
      <w:i/>
      <w:color w:val="1C5F69"/>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0">
    <w:name w:val="Heading2"/>
    <w:basedOn w:val="Heading2-nonumbers"/>
    <w:qFormat/>
    <w:rsid w:val="008F3DAD"/>
    <w:pPr>
      <w:spacing w:before="240"/>
    </w:pPr>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2</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170</cp:revision>
  <cp:lastPrinted>2022-04-29T02:04:00Z</cp:lastPrinted>
  <dcterms:created xsi:type="dcterms:W3CDTF">2022-07-06T04:09:00Z</dcterms:created>
  <dcterms:modified xsi:type="dcterms:W3CDTF">2025-02-18T15:08:00Z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