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tabs>
          <w:tab w:pos="10772" w:val="right"/>
        </w:tabs>
      </w:pPr>
      <w:r>
        <w:t>Edwards Marshall - Dynamic 60 with Direct AusEq</w:t>
      </w:r>
      <w:r>
        <w:tab/>
      </w:r>
      <w:r>
        <w:t>31 August 2025</w:t>
      </w:r>
    </w:p>
    <w:tbl>
      <w:tblPr>
        <w:tblStyle w:val="AtchisonTable1"/>
        <w:tblW w:type="auto" w:w="0"/>
        <w:tblLook w:firstColumn="1" w:firstRow="1" w:lastColumn="0" w:lastRow="0" w:noHBand="0" w:noVBand="1" w:val="04A0"/>
      </w:tblPr>
      <w:tblGrid>
        <w:gridCol w:w="1843"/>
        <w:gridCol w:w="1843"/>
        <w:gridCol w:w="1843"/>
        <w:gridCol w:w="1843"/>
        <w:gridCol w:w="1843"/>
        <w:gridCol w:w="1843"/>
      </w:tblGrid>
      <w:tr>
        <w:tc>
          <w:tcPr>
            <w:tcW w:type="dxa" w:w="2551"/>
          </w:tcPr>
          <w:p/>
        </w:tc>
        <w:tc>
          <w:tcPr>
            <w:tcW w:type="dxa" w:w="1644"/>
          </w:tcPr>
          <w:p>
            <w:r>
              <w:t>3 Months</w:t>
            </w:r>
          </w:p>
        </w:tc>
        <w:tc>
          <w:tcPr>
            <w:tcW w:type="dxa" w:w="1644"/>
          </w:tcPr>
          <w:p>
            <w:r>
              <w:t>6 Months</w:t>
            </w:r>
          </w:p>
        </w:tc>
        <w:tc>
          <w:tcPr>
            <w:tcW w:type="dxa" w:w="1644"/>
          </w:tcPr>
          <w:p>
            <w:r>
              <w:t>1 Year</w:t>
            </w:r>
          </w:p>
        </w:tc>
        <w:tc>
          <w:tcPr>
            <w:tcW w:type="dxa" w:w="1644"/>
          </w:tcPr>
          <w:p>
            <w:r>
              <w:t>2 Years (p.a.)</w:t>
            </w:r>
          </w:p>
        </w:tc>
        <w:tc>
          <w:tcPr>
            <w:tcW w:type="dxa" w:w="1644"/>
          </w:tcPr>
          <w:p>
            <w:r>
              <w:t>Since Inception (p.a.)</w:t>
            </w:r>
          </w:p>
        </w:tc>
      </w:tr>
      <w:tr>
        <w:tc>
          <w:tcPr>
            <w:tcW w:type="dxa" w:w="2551"/>
          </w:tcPr>
          <w:p>
            <w:r>
              <w:t>EMFS_Atchison60_withDirectAus</w:t>
            </w:r>
          </w:p>
        </w:tc>
        <w:tc>
          <w:tcPr>
            <w:tcW w:type="dxa" w:w="1644"/>
          </w:tcPr>
          <w:p>
            <w:r>
              <w:rPr>
                <w:b/>
              </w:rPr>
              <w:t>3.74</w:t>
            </w:r>
          </w:p>
        </w:tc>
        <w:tc>
          <w:tcPr>
            <w:tcW w:type="dxa" w:w="1644"/>
          </w:tcPr>
          <w:p>
            <w:r>
              <w:rPr>
                <w:b/>
              </w:rPr>
              <w:t>6.04</w:t>
            </w:r>
          </w:p>
        </w:tc>
        <w:tc>
          <w:tcPr>
            <w:tcW w:type="dxa" w:w="1644"/>
          </w:tcPr>
          <w:p>
            <w:r>
              <w:rPr>
                <w:b/>
              </w:rPr>
              <w:t>11.81</w:t>
            </w:r>
          </w:p>
        </w:tc>
        <w:tc>
          <w:tcPr>
            <w:tcW w:type="dxa" w:w="1644"/>
          </w:tcPr>
          <w:p>
            <w:r>
              <w:rPr>
                <w:b/>
              </w:rPr>
              <w:t>12.86</w:t>
            </w:r>
          </w:p>
        </w:tc>
        <w:tc>
          <w:tcPr>
            <w:tcW w:type="dxa" w:w="1644"/>
          </w:tcPr>
          <w:p>
            <w:r>
              <w:rPr>
                <w:b/>
              </w:rPr>
              <w:t>13.17</w:t>
            </w:r>
          </w:p>
        </w:tc>
      </w:tr>
      <w:tr>
        <w:tc>
          <w:tcPr>
            <w:tcW w:type="dxa" w:w="2551"/>
          </w:tcPr>
          <w:p>
            <w:r>
              <w:t>Peer Group</w:t>
            </w:r>
          </w:p>
        </w:tc>
        <w:tc>
          <w:tcPr>
            <w:tcW w:type="dxa" w:w="1644"/>
          </w:tcPr>
          <w:p>
            <w:r>
              <w:t>3.51</w:t>
            </w:r>
          </w:p>
        </w:tc>
        <w:tc>
          <w:tcPr>
            <w:tcW w:type="dxa" w:w="1644"/>
          </w:tcPr>
          <w:p>
            <w:r>
              <w:t>4.73</w:t>
            </w:r>
          </w:p>
        </w:tc>
        <w:tc>
          <w:tcPr>
            <w:tcW w:type="dxa" w:w="1644"/>
          </w:tcPr>
          <w:p>
            <w:r>
              <w:t>8.74</w:t>
            </w:r>
          </w:p>
        </w:tc>
        <w:tc>
          <w:tcPr>
            <w:tcW w:type="dxa" w:w="1644"/>
          </w:tcPr>
          <w:p>
            <w:r>
              <w:t>9.15</w:t>
            </w:r>
          </w:p>
        </w:tc>
        <w:tc>
          <w:tcPr>
            <w:tcW w:type="dxa" w:w="1644"/>
          </w:tcPr>
          <w:p>
            <w:r>
              <w:t>9.14</w:t>
            </w:r>
          </w:p>
        </w:tc>
      </w:tr>
      <w:tr>
        <w:tc>
          <w:tcPr>
            <w:tcW w:type="dxa" w:w="2551"/>
          </w:tcPr>
          <w:p>
            <w:r>
              <w:t>Inflation</w:t>
            </w:r>
          </w:p>
        </w:tc>
        <w:tc>
          <w:tcPr>
            <w:tcW w:type="dxa" w:w="1644"/>
          </w:tcPr>
          <w:p>
            <w:r>
              <w:t>-0.38</w:t>
            </w:r>
          </w:p>
        </w:tc>
        <w:tc>
          <w:tcPr>
            <w:tcW w:type="dxa" w:w="1644"/>
          </w:tcPr>
          <w:p>
            <w:r>
              <w:t>0.74</w:t>
            </w:r>
          </w:p>
        </w:tc>
        <w:tc>
          <w:tcPr>
            <w:tcW w:type="dxa" w:w="1644"/>
          </w:tcPr>
          <w:p>
            <w:r>
              <w:t>1.9</w:t>
            </w:r>
          </w:p>
        </w:tc>
        <w:tc>
          <w:tcPr>
            <w:tcW w:type="dxa" w:w="1644"/>
          </w:tcPr>
          <w:p>
            <w:r>
              <w:t>2.28</w:t>
            </w:r>
          </w:p>
        </w:tc>
        <w:tc>
          <w:tcPr>
            <w:tcW w:type="dxa" w:w="1644"/>
          </w:tcPr>
          <w:p>
            <w:r>
              <w:t>2.42</w:t>
            </w:r>
          </w:p>
        </w:tc>
      </w:tr>
      <w:tr>
        <w:tc>
          <w:tcPr>
            <w:tcW w:type="dxa" w:w="2551"/>
          </w:tcPr>
          <w:p>
            <w:r>
              <w:t>Outperformance vs Peers</w:t>
            </w:r>
          </w:p>
        </w:tc>
        <w:tc>
          <w:tcPr>
            <w:tcW w:type="dxa" w:w="1644"/>
          </w:tcPr>
          <w:p>
            <w:r>
              <w:t>0.23</w:t>
            </w:r>
          </w:p>
        </w:tc>
        <w:tc>
          <w:tcPr>
            <w:tcW w:type="dxa" w:w="1644"/>
          </w:tcPr>
          <w:p>
            <w:r>
              <w:t>1.31</w:t>
            </w:r>
          </w:p>
        </w:tc>
        <w:tc>
          <w:tcPr>
            <w:tcW w:type="dxa" w:w="1644"/>
          </w:tcPr>
          <w:p>
            <w:r>
              <w:t>3.07</w:t>
            </w:r>
          </w:p>
        </w:tc>
        <w:tc>
          <w:tcPr>
            <w:tcW w:type="dxa" w:w="1644"/>
          </w:tcPr>
          <w:p>
            <w:r>
              <w:t>3.72</w:t>
            </w:r>
          </w:p>
        </w:tc>
        <w:tc>
          <w:tcPr>
            <w:tcW w:type="dxa" w:w="1644"/>
          </w:tcPr>
          <w:p>
            <w:r>
              <w:t>4.03</w:t>
            </w:r>
          </w:p>
        </w:tc>
      </w:tr>
      <w:tr>
        <w:tc>
          <w:tcPr>
            <w:tcW w:type="dxa" w:w="2551"/>
          </w:tcPr>
          <w:p>
            <w:r>
              <w:t>Outperformance vs Inflation</w:t>
            </w:r>
          </w:p>
        </w:tc>
        <w:tc>
          <w:tcPr>
            <w:tcW w:type="dxa" w:w="1644"/>
          </w:tcPr>
          <w:p>
            <w:r>
              <w:t>4.12</w:t>
            </w:r>
          </w:p>
        </w:tc>
        <w:tc>
          <w:tcPr>
            <w:tcW w:type="dxa" w:w="1644"/>
          </w:tcPr>
          <w:p>
            <w:r>
              <w:t>5.3</w:t>
            </w:r>
          </w:p>
        </w:tc>
        <w:tc>
          <w:tcPr>
            <w:tcW w:type="dxa" w:w="1644"/>
          </w:tcPr>
          <w:p>
            <w:r>
              <w:t>9.91</w:t>
            </w:r>
          </w:p>
        </w:tc>
        <w:tc>
          <w:tcPr>
            <w:tcW w:type="dxa" w:w="1644"/>
          </w:tcPr>
          <w:p>
            <w:r>
              <w:t>10.58</w:t>
            </w:r>
          </w:p>
        </w:tc>
        <w:tc>
          <w:tcPr>
            <w:tcW w:type="dxa" w:w="1644"/>
          </w:tcPr>
          <w:p>
            <w:r>
              <w:t>10.75</w:t>
            </w:r>
          </w:p>
        </w:tc>
      </w:tr>
    </w:tbl>
    <w:p>
      <w:pPr>
        <w:pStyle w:val="Note"/>
      </w:pPr>
      <w:r>
        <w:t>Inception Date: 31 December 2022</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1081" w:right="418" w:bottom="0" w:left="426" w:header="2409" w:footer="1418" w:gutter="0"/>
          <w:cols w:space="284"/>
          <w:titlePg/>
          <w:docGrid w:linePitch="360"/>
        </w:sectPr>
      </w:pPr>
    </w:p>
    <w:p>
      <w:pPr>
        <w:pStyle w:val="Heading2"/>
      </w:pPr>
      <w:r>
        <w:t>Investment Objective</w:t>
      </w:r>
    </w:p>
    <w:p>
      <w:pPr>
        <w:pStyle w:val="BodyStyle"/>
      </w:pPr>
      <w:r>
        <w:t xml:space="preserve">Outperform the FE AMI Mixed Asset – Balanced Peer Index, after underlying manager fees and before tax, over rolling seven-year periods. </w:t>
      </w:r>
    </w:p>
    <w:p>
      <w:pPr>
        <w:pStyle w:val="Heading2"/>
      </w:pPr>
      <w:r>
        <w:t>Strategy Overview</w:t>
      </w:r>
    </w:p>
    <w:p>
      <w:pPr>
        <w:pStyle w:val="BodyStyle"/>
      </w:pPr>
      <w:r>
        <w:t>Edwards Marshall Finanacial Services 60 Portfolio is a Separately Managed Account (SMA), which is an all-inclusive diversified, multi-asset, investment portfolio professionally managed for you (the client) on behalf of a financial advisor. This portfolio is made up of 60% growth assets, and 40% defensive assets and uses a combination of passive strategies, direct securities and active managers. Asset classes include Australian Shares, Global Shares, Alternatives, Floating Rate, Long Duration, Real Assets and Cash.</w:t>
      </w:r>
    </w:p>
    <w:tbl>
      <w:tblPr>
        <w:tblStyle w:val="AtchisonTable1"/>
        <w:tblW w:type="auto" w:w="0"/>
        <w:tblLook w:firstColumn="1" w:firstRow="1" w:lastColumn="0" w:lastRow="0" w:noHBand="0" w:noVBand="1" w:val="04A0"/>
      </w:tblPr>
      <w:tblGrid>
        <w:gridCol w:w="5528"/>
        <w:gridCol w:w="5528"/>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EMFS</w:t>
            </w:r>
          </w:p>
        </w:tc>
      </w:tr>
      <w:tr>
        <w:tc>
          <w:tcPr>
            <w:tcW w:type="dxa" w:w="2268"/>
          </w:tcPr>
          <w:p>
            <w:r>
              <w:t>Benchmark</w:t>
            </w:r>
          </w:p>
        </w:tc>
        <w:tc>
          <w:tcPr>
            <w:tcW w:type="dxa" w:w="3118"/>
          </w:tcPr>
          <w:p>
            <w:r>
              <w:t>FE AMI Mixed Asset – Balanced Peer Index</w:t>
            </w:r>
          </w:p>
        </w:tc>
      </w:tr>
      <w:tr>
        <w:tc>
          <w:tcPr>
            <w:tcW w:type="dxa" w:w="2268"/>
          </w:tcPr>
          <w:p>
            <w:r>
              <w:t>Inception Date</w:t>
            </w:r>
          </w:p>
        </w:tc>
        <w:tc>
          <w:tcPr>
            <w:tcW w:type="dxa" w:w="3118"/>
          </w:tcPr>
          <w:p>
            <w:r>
              <w:t>31 December 2022</w:t>
            </w:r>
          </w:p>
        </w:tc>
      </w:tr>
      <w:tr>
        <w:tc>
          <w:tcPr>
            <w:tcW w:type="dxa" w:w="2268"/>
          </w:tcPr>
          <w:p>
            <w:r>
              <w:t>Investment Horizon</w:t>
            </w:r>
          </w:p>
        </w:tc>
        <w:tc>
          <w:tcPr>
            <w:tcW w:type="dxa" w:w="3118"/>
          </w:tcPr>
          <w:p>
            <w:r>
              <w:t>7 Years</w:t>
            </w:r>
          </w:p>
        </w:tc>
      </w:tr>
      <w:tr>
        <w:tc>
          <w:tcPr>
            <w:tcW w:type="dxa" w:w="2268"/>
          </w:tcPr>
          <w:p>
            <w:r>
              <w:t>Risk Level (SRM)</w:t>
            </w:r>
          </w:p>
        </w:tc>
        <w:tc>
          <w:tcPr>
            <w:tcW w:type="dxa" w:w="3118"/>
          </w:tcPr>
          <w:p>
            <w:r>
              <w:t>Medium</w:t>
            </w:r>
          </w:p>
        </w:tc>
      </w:tr>
      <w:tr>
        <w:tc>
          <w:tcPr>
            <w:tcW w:type="dxa" w:w="2268"/>
          </w:tcPr>
          <w:p>
            <w:r>
              <w:t>Min Investment</w:t>
            </w:r>
          </w:p>
        </w:tc>
        <w:tc>
          <w:tcPr>
            <w:tcW w:type="dxa" w:w="3118"/>
          </w:tcPr>
          <w:p>
            <w:r>
              <w:t>25k</w:t>
            </w:r>
          </w:p>
        </w:tc>
      </w:tr>
      <w:tr>
        <w:tc>
          <w:tcPr>
            <w:tcW w:type="dxa" w:w="2268"/>
          </w:tcPr>
          <w:p>
            <w:r>
              <w:t>Product Fee</w:t>
            </w:r>
          </w:p>
        </w:tc>
        <w:tc>
          <w:tcPr>
            <w:tcW w:type="dxa" w:w="3118"/>
          </w:tcPr>
          <w:p>
            <w:r>
              <w:t>Platform Specific - Refer to PDS</w:t>
            </w:r>
          </w:p>
        </w:tc>
      </w:tr>
      <w:tr>
        <w:tc>
          <w:tcPr>
            <w:tcW w:type="dxa" w:w="2268"/>
          </w:tcPr>
          <w:p>
            <w:r>
              <w:t>Underlying MER</w:t>
            </w:r>
          </w:p>
        </w:tc>
        <w:tc>
          <w:tcPr>
            <w:tcW w:type="dxa" w:w="3118"/>
          </w:tcPr>
          <w:p>
            <w:r>
              <w:t>0.00%</w:t>
            </w:r>
          </w:p>
        </w:tc>
      </w:tr>
      <w:tr>
        <w:tc>
          <w:tcPr>
            <w:tcW w:type="dxa" w:w="2268"/>
          </w:tcPr>
          <w:p>
            <w:r>
              <w:t>Underlying Perf Fees</w:t>
            </w:r>
          </w:p>
        </w:tc>
        <w:tc>
          <w:tcPr>
            <w:tcW w:type="dxa" w:w="3118"/>
          </w:tcPr>
          <w:p>
            <w:r>
              <w:t>0.00%</w:t>
            </w:r>
          </w:p>
        </w:tc>
      </w:tr>
    </w:tbl>
    <w:p>
      <w:pPr>
        <w:pStyle w:val="Heading3"/>
      </w:pPr>
      <w:r>
        <w:t>Top 10 Share Exposures</w:t>
      </w:r>
    </w:p>
    <w:tbl>
      <w:tblPr>
        <w:tblStyle w:val="AtchisonTable1"/>
        <w:tblW w:type="auto" w:w="0"/>
        <w:tblLook w:firstColumn="1" w:firstRow="1" w:lastColumn="0" w:lastRow="0" w:noHBand="0" w:noVBand="1" w:val="04A0"/>
      </w:tblPr>
      <w:tblGrid>
        <w:gridCol w:w="5528"/>
        <w:gridCol w:w="5528"/>
      </w:tblGrid>
      <w:tr>
        <w:tc>
          <w:tcPr>
            <w:tcW w:type="dxa" w:w="1417"/>
          </w:tcPr>
          <w:p>
            <w:r>
              <w:rPr>
                <w:b/>
              </w:rPr>
              <w:t>Code</w:t>
            </w:r>
          </w:p>
        </w:tc>
        <w:tc>
          <w:tcPr>
            <w:tcW w:type="dxa" w:w="3685"/>
          </w:tcPr>
          <w:p>
            <w:r>
              <w:rPr>
                <w:b/>
              </w:rPr>
              <w:t>Name</w:t>
            </w:r>
          </w:p>
        </w:tc>
      </w:tr>
      <w:tr>
        <w:tc>
          <w:tcPr>
            <w:tcW w:type="dxa" w:w="1417"/>
          </w:tcPr>
          <w:p>
            <w:r>
              <w:t>BHP-AU</w:t>
            </w:r>
          </w:p>
        </w:tc>
        <w:tc>
          <w:tcPr>
            <w:tcW w:type="dxa" w:w="3685"/>
          </w:tcPr>
          <w:p>
            <w:r>
              <w:t>BHP Group Limited</w:t>
            </w:r>
          </w:p>
        </w:tc>
      </w:tr>
      <w:tr>
        <w:tc>
          <w:tcPr>
            <w:tcW w:type="dxa" w:w="1417"/>
          </w:tcPr>
          <w:p>
            <w:r>
              <w:t>NAB-AU</w:t>
            </w:r>
          </w:p>
        </w:tc>
        <w:tc>
          <w:tcPr>
            <w:tcW w:type="dxa" w:w="3685"/>
          </w:tcPr>
          <w:p>
            <w:r>
              <w:t>National Australia Bank Limited</w:t>
            </w:r>
          </w:p>
        </w:tc>
      </w:tr>
      <w:tr>
        <w:tc>
          <w:tcPr>
            <w:tcW w:type="dxa" w:w="1417"/>
          </w:tcPr>
          <w:p>
            <w:r>
              <w:t>CBA-AU</w:t>
            </w:r>
          </w:p>
        </w:tc>
        <w:tc>
          <w:tcPr>
            <w:tcW w:type="dxa" w:w="3685"/>
          </w:tcPr>
          <w:p>
            <w:r>
              <w:t>Commonwealth Bank of Australia</w:t>
            </w:r>
          </w:p>
        </w:tc>
      </w:tr>
      <w:tr>
        <w:tc>
          <w:tcPr>
            <w:tcW w:type="dxa" w:w="1417"/>
          </w:tcPr>
          <w:p>
            <w:r>
              <w:t>WES-AU</w:t>
            </w:r>
          </w:p>
        </w:tc>
        <w:tc>
          <w:tcPr>
            <w:tcW w:type="dxa" w:w="3685"/>
          </w:tcPr>
          <w:p>
            <w:r>
              <w:t>Wesfarmers Limited</w:t>
            </w:r>
          </w:p>
        </w:tc>
      </w:tr>
      <w:tr>
        <w:tc>
          <w:tcPr>
            <w:tcW w:type="dxa" w:w="1417"/>
          </w:tcPr>
          <w:p>
            <w:r>
              <w:t>ORG-AU</w:t>
            </w:r>
          </w:p>
        </w:tc>
        <w:tc>
          <w:tcPr>
            <w:tcW w:type="dxa" w:w="3685"/>
          </w:tcPr>
          <w:p>
            <w:r>
              <w:t>Origin Energy Limited</w:t>
            </w:r>
          </w:p>
        </w:tc>
      </w:tr>
      <w:tr>
        <w:tc>
          <w:tcPr>
            <w:tcW w:type="dxa" w:w="1417"/>
          </w:tcPr>
          <w:p>
            <w:r>
              <w:t>BXB-AU</w:t>
            </w:r>
          </w:p>
        </w:tc>
        <w:tc>
          <w:tcPr>
            <w:tcW w:type="dxa" w:w="3685"/>
          </w:tcPr>
          <w:p>
            <w:r>
              <w:t>Brambles Limited</w:t>
            </w:r>
          </w:p>
        </w:tc>
      </w:tr>
      <w:tr>
        <w:tc>
          <w:tcPr>
            <w:tcW w:type="dxa" w:w="1417"/>
          </w:tcPr>
          <w:p>
            <w:r>
              <w:t>WDS-AU</w:t>
            </w:r>
          </w:p>
        </w:tc>
        <w:tc>
          <w:tcPr>
            <w:tcW w:type="dxa" w:w="3685"/>
          </w:tcPr>
          <w:p>
            <w:r>
              <w:t>Woodside Energy Group Ltd</w:t>
            </w:r>
          </w:p>
        </w:tc>
      </w:tr>
      <w:tr>
        <w:tc>
          <w:tcPr>
            <w:tcW w:type="dxa" w:w="1417"/>
          </w:tcPr>
          <w:p>
            <w:r>
              <w:t>MQG-AU</w:t>
            </w:r>
          </w:p>
        </w:tc>
        <w:tc>
          <w:tcPr>
            <w:tcW w:type="dxa" w:w="3685"/>
          </w:tcPr>
          <w:p>
            <w:r>
              <w:t>Macquarie Group Limited</w:t>
            </w:r>
          </w:p>
        </w:tc>
      </w:tr>
      <w:tr>
        <w:tc>
          <w:tcPr>
            <w:tcW w:type="dxa" w:w="1417"/>
          </w:tcPr>
          <w:p>
            <w:r>
              <w:t>TCL-AU</w:t>
            </w:r>
          </w:p>
        </w:tc>
        <w:tc>
          <w:tcPr>
            <w:tcW w:type="dxa" w:w="3685"/>
          </w:tcPr>
          <w:p>
            <w:r>
              <w:t>Transurban Group</w:t>
            </w:r>
          </w:p>
        </w:tc>
      </w:tr>
      <w:tr>
        <w:tc>
          <w:tcPr>
            <w:tcW w:type="dxa" w:w="1417"/>
          </w:tcPr>
          <w:p>
            <w:r>
              <w:t>FMG-AU</w:t>
            </w:r>
          </w:p>
        </w:tc>
        <w:tc>
          <w:tcPr>
            <w:tcW w:type="dxa" w:w="3685"/>
          </w:tcPr>
          <w:p>
            <w:r>
              <w:t>Fortescue Ltd</w:t>
            </w:r>
          </w:p>
        </w:tc>
      </w:tr>
    </w:tbl>
    <w:br w:type="column"/>
    <w:p>
      <w:pPr>
        <w:pStyle w:val="Heading3"/>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
      </w:pPr>
      <w:r>
        <w:t>Asset Class Performance</w:t>
      </w:r>
    </w:p>
    <w:tbl>
      <w:tblPr>
        <w:tblStyle w:val="AtchisonTable1"/>
        <w:tblW w:type="auto" w:w="0"/>
        <w:tblLook w:firstColumn="1" w:firstRow="1" w:lastColumn="0" w:lastRow="0" w:noHBand="0" w:noVBand="1" w:val="04A0"/>
      </w:tblPr>
      <w:tblGrid>
        <w:gridCol w:w="3685"/>
        <w:gridCol w:w="3685"/>
        <w:gridCol w:w="3685"/>
      </w:tblGrid>
      <w:tr>
        <w:tc>
          <w:tcPr>
            <w:tcW w:type="dxa" w:w="1984"/>
          </w:tcPr>
          <w:p>
            <w:r>
              <w:rPr>
                <w:b/>
              </w:rPr>
              <w:t>Period</w:t>
            </w:r>
          </w:p>
        </w:tc>
        <w:tc>
          <w:tcPr>
            <w:tcW w:type="dxa" w:w="1559"/>
          </w:tcPr>
          <w:p>
            <w:r>
              <w:rPr>
                <w:b/>
              </w:rPr>
              <w:t>1 Year</w:t>
            </w:r>
          </w:p>
        </w:tc>
        <w:tc>
          <w:tcPr>
            <w:tcW w:type="dxa" w:w="1559"/>
          </w:tcPr>
          <w:p>
            <w:r>
              <w:rPr>
                <w:b/>
              </w:rPr>
              <w:t>2 Years (p.a.)</w:t>
            </w:r>
          </w:p>
        </w:tc>
      </w:tr>
      <w:tr>
        <w:tc>
          <w:tcPr>
            <w:tcW w:type="dxa" w:w="1984"/>
          </w:tcPr>
          <w:p>
            <w:r>
              <w:t>Australian Shares</w:t>
            </w:r>
          </w:p>
        </w:tc>
        <w:tc>
          <w:tcPr>
            <w:tcW w:type="dxa" w:w="1559"/>
          </w:tcPr>
          <w:p>
            <w:r>
              <w:t>11.9</w:t>
            </w:r>
          </w:p>
        </w:tc>
        <w:tc>
          <w:tcPr>
            <w:tcW w:type="dxa" w:w="1559"/>
          </w:tcPr>
          <w:p>
            <w:r>
              <w:t>16.34</w:t>
            </w:r>
          </w:p>
        </w:tc>
      </w:tr>
      <w:tr>
        <w:tc>
          <w:tcPr>
            <w:tcW w:type="dxa" w:w="1984"/>
          </w:tcPr>
          <w:p>
            <w:r>
              <w:t>International Shares</w:t>
            </w:r>
          </w:p>
        </w:tc>
        <w:tc>
          <w:tcPr>
            <w:tcW w:type="dxa" w:w="1559"/>
          </w:tcPr>
          <w:p>
            <w:r>
              <w:t>19.18</w:t>
            </w:r>
          </w:p>
        </w:tc>
        <w:tc>
          <w:tcPr>
            <w:tcW w:type="dxa" w:w="1559"/>
          </w:tcPr>
          <w:p>
            <w:r>
              <w:t>17.74</w:t>
            </w:r>
          </w:p>
        </w:tc>
      </w:tr>
      <w:tr>
        <w:tc>
          <w:tcPr>
            <w:tcW w:type="dxa" w:w="1984"/>
          </w:tcPr>
          <w:p>
            <w:r>
              <w:t>Real Assets</w:t>
            </w:r>
          </w:p>
        </w:tc>
        <w:tc>
          <w:tcPr>
            <w:tcW w:type="dxa" w:w="1559"/>
          </w:tcPr>
          <w:p>
            <w:r>
              <w:t>4.28</w:t>
            </w:r>
          </w:p>
        </w:tc>
        <w:tc>
          <w:tcPr>
            <w:tcW w:type="dxa" w:w="1559"/>
          </w:tcPr>
          <w:p>
            <w:r>
              <w:t>10.66</w:t>
            </w:r>
          </w:p>
        </w:tc>
      </w:tr>
      <w:tr>
        <w:tc>
          <w:tcPr>
            <w:tcW w:type="dxa" w:w="1984"/>
          </w:tcPr>
          <w:p>
            <w:r>
              <w:t>Alternatives</w:t>
            </w:r>
          </w:p>
        </w:tc>
        <w:tc>
          <w:tcPr>
            <w:tcW w:type="dxa" w:w="1559"/>
          </w:tcPr>
          <w:p>
            <w:r>
              <w:t>34.57</w:t>
            </w:r>
          </w:p>
        </w:tc>
        <w:tc>
          <w:tcPr>
            <w:tcW w:type="dxa" w:w="1559"/>
          </w:tcPr>
          <w:p>
            <w:r>
              <w:t>18.4</w:t>
            </w:r>
          </w:p>
        </w:tc>
      </w:tr>
      <w:tr>
        <w:tc>
          <w:tcPr>
            <w:tcW w:type="dxa" w:w="1984"/>
          </w:tcPr>
          <w:p>
            <w:r>
              <w:t>Long Duration</w:t>
            </w:r>
          </w:p>
        </w:tc>
        <w:tc>
          <w:tcPr>
            <w:tcW w:type="dxa" w:w="1559"/>
          </w:tcPr>
          <w:p>
            <w:r>
              <w:t>2.72</w:t>
            </w:r>
          </w:p>
        </w:tc>
        <w:tc>
          <w:tcPr>
            <w:tcW w:type="dxa" w:w="1559"/>
          </w:tcPr>
          <w:p>
            <w:r>
              <w:t>3.96</w:t>
            </w:r>
          </w:p>
        </w:tc>
      </w:tr>
      <w:tr>
        <w:tc>
          <w:tcPr>
            <w:tcW w:type="dxa" w:w="1984"/>
          </w:tcPr>
          <w:p>
            <w:r>
              <w:t>Floating Rate</w:t>
            </w:r>
          </w:p>
        </w:tc>
        <w:tc>
          <w:tcPr>
            <w:tcW w:type="dxa" w:w="1559"/>
          </w:tcPr>
          <w:p>
            <w:r>
              <w:t>4.96</w:t>
            </w:r>
          </w:p>
        </w:tc>
        <w:tc>
          <w:tcPr>
            <w:tcW w:type="dxa" w:w="1559"/>
          </w:tcPr>
          <w:p>
            <w:r>
              <w:t>5.24</w:t>
            </w:r>
          </w:p>
        </w:tc>
      </w:tr>
      <w:tr>
        <w:tc>
          <w:tcPr>
            <w:tcW w:type="dxa" w:w="1984"/>
          </w:tcPr>
          <w:p>
            <w:r>
              <w:t>Cash</w:t>
            </w:r>
          </w:p>
        </w:tc>
        <w:tc>
          <w:tcPr>
            <w:tcW w:type="dxa" w:w="1559"/>
          </w:tcPr>
          <w:p>
            <w:r>
              <w:t>4.34</w:t>
            </w:r>
          </w:p>
        </w:tc>
        <w:tc>
          <w:tcPr>
            <w:tcW w:type="dxa" w:w="1559"/>
          </w:tcPr>
          <w:p>
            <w:r>
              <w:t>4.4</w:t>
            </w:r>
          </w:p>
        </w:tc>
      </w:tr>
    </w:tbl>
    <w:p>
      <w:pPr>
        <w:pStyle w:val="Note"/>
      </w:pPr>
      <w:r>
        <w:t>Inception Date: 31 December 2022</w:t>
      </w:r>
    </w:p>
    <w:p>
      <w:pPr>
        <w:pStyle w:val="Heading3"/>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2322000"/>
                    </a:xfrm>
                    <a:prstGeom prst="rect"/>
                  </pic:spPr>
                </pic:pic>
              </a:graphicData>
            </a:graphic>
          </wp:inline>
        </w:drawing>
      </w:r>
    </w:p>
    <w:p>
      <w:pPr>
        <w:pStyle w:val="Heading3"/>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iShares ASX 200</w:t>
            </w:r>
          </w:p>
        </w:tc>
        <w:tc>
          <w:tcPr>
            <w:tcW w:type="dxa" w:w="1417"/>
          </w:tcPr>
          <w:p>
            <w:r>
              <w:t>14.79</w:t>
            </w:r>
          </w:p>
        </w:tc>
        <w:tc>
          <w:tcPr>
            <w:tcW w:type="dxa" w:w="1417"/>
          </w:tcPr>
          <w:p>
            <w:r>
              <w:t>14.72</w:t>
            </w:r>
          </w:p>
        </w:tc>
      </w:tr>
      <w:tr>
        <w:tc>
          <w:tcPr>
            <w:tcW w:type="dxa" w:w="2268"/>
          </w:tcPr>
          <w:p>
            <w:r>
              <w:t>Aristocrat Leisure Limited</w:t>
            </w:r>
          </w:p>
        </w:tc>
        <w:tc>
          <w:tcPr>
            <w:tcW w:type="dxa" w:w="1417"/>
          </w:tcPr>
          <w:p>
            <w:r>
              <w:t>34.7</w:t>
            </w:r>
          </w:p>
        </w:tc>
        <w:tc>
          <w:tcPr>
            <w:tcW w:type="dxa" w:w="1417"/>
          </w:tcPr>
          <w:p>
            <w:r>
              <w:t>35.27</w:t>
            </w:r>
          </w:p>
        </w:tc>
      </w:tr>
      <w:tr>
        <w:tc>
          <w:tcPr>
            <w:tcW w:type="dxa" w:w="2268"/>
          </w:tcPr>
          <w:p>
            <w:r>
              <w:t>BHP Group Limited</w:t>
            </w:r>
          </w:p>
        </w:tc>
        <w:tc>
          <w:tcPr>
            <w:tcW w:type="dxa" w:w="1417"/>
          </w:tcPr>
          <w:p>
            <w:r>
              <w:t>11.16</w:t>
            </w:r>
          </w:p>
        </w:tc>
        <w:tc>
          <w:tcPr>
            <w:tcW w:type="dxa" w:w="1417"/>
          </w:tcPr>
          <w:p>
            <w:r>
              <w:t>3.21</w:t>
            </w:r>
          </w:p>
        </w:tc>
      </w:tr>
      <w:tr>
        <w:tc>
          <w:tcPr>
            <w:tcW w:type="dxa" w:w="2268"/>
          </w:tcPr>
          <w:p>
            <w:r>
              <w:t>Brambles Limited</w:t>
            </w:r>
          </w:p>
        </w:tc>
        <w:tc>
          <w:tcPr>
            <w:tcW w:type="dxa" w:w="1417"/>
          </w:tcPr>
          <w:p>
            <w:r>
              <w:t>46.78</w:t>
            </w:r>
          </w:p>
        </w:tc>
        <w:tc>
          <w:tcPr>
            <w:tcW w:type="dxa" w:w="1417"/>
          </w:tcPr>
          <w:p>
            <w:r>
              <w:t>35.62</w:t>
            </w:r>
          </w:p>
        </w:tc>
      </w:tr>
      <w:tr>
        <w:tc>
          <w:tcPr>
            <w:tcW w:type="dxa" w:w="2268"/>
          </w:tcPr>
          <w:p>
            <w:r>
              <w:t>Commonwealth Bank of Australia</w:t>
            </w:r>
          </w:p>
        </w:tc>
        <w:tc>
          <w:tcPr>
            <w:tcW w:type="dxa" w:w="1417"/>
          </w:tcPr>
          <w:p>
            <w:r>
              <w:t>25.67</w:t>
            </w:r>
          </w:p>
        </w:tc>
        <w:tc>
          <w:tcPr>
            <w:tcW w:type="dxa" w:w="1417"/>
          </w:tcPr>
          <w:p>
            <w:r>
              <w:t>33.37</w:t>
            </w:r>
          </w:p>
        </w:tc>
      </w:tr>
      <w:tr>
        <w:tc>
          <w:tcPr>
            <w:tcW w:type="dxa" w:w="2268"/>
          </w:tcPr>
          <w:p>
            <w:r>
              <w:t>CSL Limited</w:t>
            </w:r>
          </w:p>
        </w:tc>
        <w:tc>
          <w:tcPr>
            <w:tcW w:type="dxa" w:w="1417"/>
          </w:tcPr>
          <w:p>
            <w:r>
              <w:t>-29.62</w:t>
            </w:r>
          </w:p>
        </w:tc>
        <w:tc>
          <w:tcPr>
            <w:tcW w:type="dxa" w:w="1417"/>
          </w:tcPr>
          <w:p>
            <w:r>
              <w:t>-10.47</w:t>
            </w:r>
          </w:p>
        </w:tc>
      </w:tr>
      <w:tr>
        <w:tc>
          <w:tcPr>
            <w:tcW w:type="dxa" w:w="2268"/>
          </w:tcPr>
          <w:p>
            <w:r>
              <w:t>Fortescue Ltd</w:t>
            </w:r>
          </w:p>
        </w:tc>
        <w:tc>
          <w:tcPr>
            <w:tcW w:type="dxa" w:w="1417"/>
          </w:tcPr>
          <w:p>
            <w:r>
              <w:t>14.75</w:t>
            </w:r>
          </w:p>
        </w:tc>
        <w:tc>
          <w:tcPr>
            <w:tcW w:type="dxa" w:w="1417"/>
          </w:tcPr>
          <w:p>
            <w:r>
              <w:t>3.4</w:t>
            </w:r>
          </w:p>
        </w:tc>
      </w:tr>
      <w:tr>
        <w:tc>
          <w:tcPr>
            <w:tcW w:type="dxa" w:w="2268"/>
          </w:tcPr>
          <w:p>
            <w:r>
              <w:t>GQG Partners Inc.</w:t>
            </w:r>
          </w:p>
        </w:tc>
        <w:tc>
          <w:tcPr>
            <w:tcW w:type="dxa" w:w="1417"/>
          </w:tcPr>
          <w:p>
            <w:r>
              <w:t>-31.65</w:t>
            </w:r>
          </w:p>
        </w:tc>
        <w:tc>
          <w:tcPr>
            <w:tcW w:type="dxa" w:w="1417"/>
          </w:tcPr>
          <w:p>
            <w:r>
              <w:t>13.11</w:t>
            </w:r>
          </w:p>
        </w:tc>
      </w:tr>
      <w:tr>
        <w:tc>
          <w:tcPr>
            <w:tcW w:type="dxa" w:w="2268"/>
          </w:tcPr>
          <w:p>
            <w:r>
              <w:t>James Hardie Industries PLC</w:t>
            </w:r>
          </w:p>
        </w:tc>
        <w:tc>
          <w:tcPr>
            <w:tcW w:type="dxa" w:w="1417"/>
          </w:tcPr>
          <w:p>
            <w:r>
              <w:t>-43.41</w:t>
            </w:r>
          </w:p>
        </w:tc>
        <w:tc>
          <w:tcPr>
            <w:tcW w:type="dxa" w:w="1417"/>
          </w:tcPr>
          <w:p>
            <w:r>
              <w:t>-18.13</w:t>
            </w:r>
          </w:p>
        </w:tc>
      </w:tr>
      <w:tr>
        <w:tc>
          <w:tcPr>
            <w:tcW w:type="dxa" w:w="2268"/>
          </w:tcPr>
          <w:p>
            <w:r>
              <w:t>Macquarie Group Limited</w:t>
            </w:r>
          </w:p>
        </w:tc>
        <w:tc>
          <w:tcPr>
            <w:tcW w:type="dxa" w:w="1417"/>
          </w:tcPr>
          <w:p>
            <w:r>
              <w:t>7.62</w:t>
            </w:r>
          </w:p>
        </w:tc>
        <w:tc>
          <w:tcPr>
            <w:tcW w:type="dxa" w:w="1417"/>
          </w:tcPr>
          <w:p>
            <w:r>
              <w:t>16.39</w:t>
            </w:r>
          </w:p>
        </w:tc>
      </w:tr>
      <w:tr>
        <w:tc>
          <w:tcPr>
            <w:tcW w:type="dxa" w:w="2268"/>
          </w:tcPr>
          <w:p>
            <w:r>
              <w:t>National Australia Bank Limited</w:t>
            </w:r>
          </w:p>
        </w:tc>
        <w:tc>
          <w:tcPr>
            <w:tcW w:type="dxa" w:w="1417"/>
          </w:tcPr>
          <w:p>
            <w:r>
              <w:t>17.29</w:t>
            </w:r>
          </w:p>
        </w:tc>
        <w:tc>
          <w:tcPr>
            <w:tcW w:type="dxa" w:w="1417"/>
          </w:tcPr>
          <w:p>
            <w:r>
              <w:t>27.69</w:t>
            </w:r>
          </w:p>
        </w:tc>
      </w:tr>
      <w:tr>
        <w:tc>
          <w:tcPr>
            <w:tcW w:type="dxa" w:w="2268"/>
          </w:tcPr>
          <w:p>
            <w:r>
              <w:t>Origin Energy Limited</w:t>
            </w:r>
          </w:p>
        </w:tc>
        <w:tc>
          <w:tcPr>
            <w:tcW w:type="dxa" w:w="1417"/>
          </w:tcPr>
          <w:p>
            <w:r>
              <w:t>37.27</w:t>
            </w:r>
          </w:p>
        </w:tc>
        <w:tc>
          <w:tcPr>
            <w:tcW w:type="dxa" w:w="1417"/>
          </w:tcPr>
          <w:p>
            <w:r>
              <w:t>28.71</w:t>
            </w:r>
          </w:p>
        </w:tc>
      </w:tr>
      <w:tr>
        <w:tc>
          <w:tcPr>
            <w:tcW w:type="dxa" w:w="2268"/>
          </w:tcPr>
          <w:p>
            <w:r>
              <w:t>QBE Insurance Group Limited</w:t>
            </w:r>
          </w:p>
        </w:tc>
        <w:tc>
          <w:tcPr>
            <w:tcW w:type="dxa" w:w="1417"/>
          </w:tcPr>
          <w:p>
            <w:r>
              <w:t>43.25</w:t>
            </w:r>
          </w:p>
        </w:tc>
        <w:tc>
          <w:tcPr>
            <w:tcW w:type="dxa" w:w="1417"/>
          </w:tcPr>
          <w:p>
            <w:r>
              <w:t>25.49</w:t>
            </w:r>
          </w:p>
        </w:tc>
      </w:tr>
      <w:tr>
        <w:tc>
          <w:tcPr>
            <w:tcW w:type="dxa" w:w="2268"/>
          </w:tcPr>
          <w:p>
            <w:r>
              <w:t>ResMed Inc.</w:t>
            </w:r>
          </w:p>
        </w:tc>
        <w:tc>
          <w:tcPr>
            <w:tcW w:type="dxa" w:w="1417"/>
          </w:tcPr>
          <w:p>
            <w:r>
              <w:t>18.52</w:t>
            </w:r>
          </w:p>
        </w:tc>
        <w:tc>
          <w:tcPr>
            <w:tcW w:type="dxa" w:w="1417"/>
          </w:tcPr>
          <w:p>
            <w:r>
              <w:t>29.29</w:t>
            </w:r>
          </w:p>
        </w:tc>
      </w:tr>
      <w:tr>
        <w:tc>
          <w:tcPr>
            <w:tcW w:type="dxa" w:w="2268"/>
          </w:tcPr>
          <w:p>
            <w:r>
              <w:t>Transurban Group</w:t>
            </w:r>
          </w:p>
        </w:tc>
        <w:tc>
          <w:tcPr>
            <w:tcW w:type="dxa" w:w="1417"/>
          </w:tcPr>
          <w:p>
            <w:r>
              <w:t>12.94</w:t>
            </w:r>
          </w:p>
        </w:tc>
        <w:tc>
          <w:tcPr>
            <w:tcW w:type="dxa" w:w="1417"/>
          </w:tcPr>
          <w:p>
            <w:r>
              <w:t>9.98</w:t>
            </w:r>
          </w:p>
        </w:tc>
      </w:tr>
      <w:tr>
        <w:tc>
          <w:tcPr>
            <w:tcW w:type="dxa" w:w="2268"/>
          </w:tcPr>
          <w:p>
            <w:r>
              <w:t>Telstra Group Limited</w:t>
            </w:r>
          </w:p>
        </w:tc>
        <w:tc>
          <w:tcPr>
            <w:tcW w:type="dxa" w:w="1417"/>
          </w:tcPr>
          <w:p>
            <w:r>
              <w:t>29.8</w:t>
            </w:r>
          </w:p>
        </w:tc>
        <w:tc>
          <w:tcPr>
            <w:tcW w:type="dxa" w:w="1417"/>
          </w:tcPr>
          <w:p>
            <w:r>
              <w:t>15.4</w:t>
            </w:r>
          </w:p>
        </w:tc>
      </w:tr>
      <w:tr>
        <w:tc>
          <w:tcPr>
            <w:tcW w:type="dxa" w:w="2268"/>
          </w:tcPr>
          <w:p>
            <w:r>
              <w:t>Technology One Limited</w:t>
            </w:r>
          </w:p>
        </w:tc>
        <w:tc>
          <w:tcPr>
            <w:tcW w:type="dxa" w:w="1417"/>
          </w:tcPr>
          <w:p>
            <w:r>
              <w:t>75.74</w:t>
            </w:r>
          </w:p>
        </w:tc>
        <w:tc>
          <w:tcPr>
            <w:tcW w:type="dxa" w:w="1417"/>
          </w:tcPr>
          <w:p>
            <w:r>
              <w:t>62.53</w:t>
            </w:r>
          </w:p>
        </w:tc>
      </w:tr>
      <w:tr>
        <w:tc>
          <w:tcPr>
            <w:tcW w:type="dxa" w:w="2268"/>
          </w:tcPr>
          <w:p>
            <w:r>
              <w:t>Woodside Energy Group Ltd</w:t>
            </w:r>
          </w:p>
        </w:tc>
        <w:tc>
          <w:tcPr>
            <w:tcW w:type="dxa" w:w="1417"/>
          </w:tcPr>
          <w:p>
            <w:r>
              <w:t>8.11</w:t>
            </w:r>
          </w:p>
        </w:tc>
        <w:tc>
          <w:tcPr>
            <w:tcW w:type="dxa" w:w="1417"/>
          </w:tcPr>
          <w:p>
            <w:r>
              <w:t>-9.52</w:t>
            </w:r>
          </w:p>
        </w:tc>
      </w:tr>
      <w:tr>
        <w:tc>
          <w:tcPr>
            <w:tcW w:type="dxa" w:w="2268"/>
          </w:tcPr>
          <w:p>
            <w:r>
              <w:t>Wesfarmers Limited</w:t>
            </w:r>
          </w:p>
        </w:tc>
        <w:tc>
          <w:tcPr>
            <w:tcW w:type="dxa" w:w="1417"/>
          </w:tcPr>
          <w:p>
            <w:r>
              <w:t>30.0</w:t>
            </w:r>
          </w:p>
        </w:tc>
        <w:tc>
          <w:tcPr>
            <w:tcW w:type="dxa" w:w="1417"/>
          </w:tcPr>
          <w:p>
            <w:r>
              <w:t>33.26</w:t>
            </w:r>
          </w:p>
        </w:tc>
      </w:tr>
      <w:tr>
        <w:tc>
          <w:tcPr>
            <w:tcW w:type="dxa" w:w="2268"/>
          </w:tcPr>
          <w:p>
            <w:r>
              <w:t>Woolworths Group Limited</w:t>
            </w:r>
          </w:p>
        </w:tc>
        <w:tc>
          <w:tcPr>
            <w:tcW w:type="dxa" w:w="1417"/>
          </w:tcPr>
          <w:p>
            <w:r>
              <w:t>-15.91</w:t>
            </w:r>
          </w:p>
        </w:tc>
        <w:tc>
          <w:tcPr>
            <w:tcW w:type="dxa" w:w="1417"/>
          </w:tcPr>
          <w:p>
            <w:r>
              <w:t>-10.64</w:t>
            </w:r>
          </w:p>
        </w:tc>
      </w:tr>
      <w:tr>
        <w:tc>
          <w:tcPr>
            <w:tcW w:type="dxa" w:w="2268"/>
          </w:tcPr>
          <w:p>
            <w:r>
              <w:t>WiseTech Global Limited</w:t>
            </w:r>
          </w:p>
        </w:tc>
        <w:tc>
          <w:tcPr>
            <w:tcW w:type="dxa" w:w="1417"/>
          </w:tcPr>
          <w:p>
            <w:r>
              <w:t>-14.2</w:t>
            </w:r>
          </w:p>
        </w:tc>
        <w:tc>
          <w:tcPr>
            <w:tcW w:type="dxa" w:w="1417"/>
          </w:tcPr>
          <w:p>
            <w:r>
              <w:t>21.23</w:t>
            </w:r>
          </w:p>
        </w:tc>
      </w:tr>
      <w:tr>
        <w:tc>
          <w:tcPr>
            <w:tcW w:type="dxa" w:w="2268"/>
          </w:tcPr>
          <w:p>
            <w:r>
              <w:rPr>
                <w:b/>
              </w:rPr>
              <w:t>BM: Australian Shares</w:t>
            </w:r>
          </w:p>
        </w:tc>
        <w:tc>
          <w:tcPr>
            <w:tcW w:type="dxa" w:w="1417"/>
          </w:tcPr>
          <w:p>
            <w:r>
              <w:rPr>
                <w:b/>
              </w:rPr>
              <w:t>14.66</w:t>
            </w:r>
          </w:p>
        </w:tc>
        <w:tc>
          <w:tcPr>
            <w:tcW w:type="dxa" w:w="1417"/>
          </w:tcPr>
          <w:p>
            <w:r>
              <w:rPr>
                <w:b/>
              </w:rPr>
              <w:t>14.68</w:t>
            </w:r>
          </w:p>
        </w:tc>
      </w:tr>
      <w:tr>
        <w:tc>
          <w:tcPr>
            <w:tcW w:type="dxa" w:w="2268"/>
          </w:tcPr>
          <w:p>
            <w:r>
              <w:t xml:space="preserve">VG MSCI World Hedged </w:t>
            </w:r>
          </w:p>
        </w:tc>
        <w:tc>
          <w:tcPr>
            <w:tcW w:type="dxa" w:w="1417"/>
          </w:tcPr>
          <w:p>
            <w:r>
              <w:t>15.98</w:t>
            </w:r>
          </w:p>
        </w:tc>
        <w:tc>
          <w:tcPr>
            <w:tcW w:type="dxa" w:w="1417"/>
          </w:tcPr>
          <w:p>
            <w:r>
              <w:t>18.82</w:t>
            </w:r>
          </w:p>
        </w:tc>
      </w:tr>
      <w:tr>
        <w:tc>
          <w:tcPr>
            <w:tcW w:type="dxa" w:w="2268"/>
          </w:tcPr>
          <w:p>
            <w:r>
              <w:t>iShares US 500</w:t>
            </w:r>
          </w:p>
        </w:tc>
        <w:tc>
          <w:tcPr>
            <w:tcW w:type="dxa" w:w="1417"/>
          </w:tcPr>
          <w:p>
            <w:r>
              <w:t>21.92</w:t>
            </w:r>
          </w:p>
        </w:tc>
        <w:tc>
          <w:tcPr>
            <w:tcW w:type="dxa" w:w="1417"/>
          </w:tcPr>
          <w:p>
            <w:r>
              <w:t>20.73</w:t>
            </w:r>
          </w:p>
        </w:tc>
      </w:tr>
      <w:tr>
        <w:tc>
          <w:tcPr>
            <w:tcW w:type="dxa" w:w="2268"/>
          </w:tcPr>
          <w:p>
            <w:r>
              <w:t>VG Europe Eq</w:t>
            </w:r>
          </w:p>
        </w:tc>
        <w:tc>
          <w:tcPr>
            <w:tcW w:type="dxa" w:w="1417"/>
          </w:tcPr>
          <w:p>
            <w:r>
              <w:t>18.45</w:t>
            </w:r>
          </w:p>
        </w:tc>
        <w:tc>
          <w:tcPr>
            <w:tcW w:type="dxa" w:w="1417"/>
          </w:tcPr>
          <w:p>
            <w:r>
              <w:t>15.52</w:t>
            </w:r>
          </w:p>
        </w:tc>
      </w:tr>
      <w:tr>
        <w:tc>
          <w:tcPr>
            <w:tcW w:type="dxa" w:w="2268"/>
          </w:tcPr>
          <w:p>
            <w:r>
              <w:t xml:space="preserve">iShares Japan </w:t>
            </w:r>
          </w:p>
        </w:tc>
        <w:tc>
          <w:tcPr>
            <w:tcW w:type="dxa" w:w="1417"/>
          </w:tcPr>
          <w:p>
            <w:r>
              <w:t>16.11</w:t>
            </w:r>
          </w:p>
        </w:tc>
        <w:tc>
          <w:tcPr>
            <w:tcW w:type="dxa" w:w="1417"/>
          </w:tcPr>
          <w:p>
            <w:r>
              <w:t>15.15</w:t>
            </w:r>
          </w:p>
        </w:tc>
      </w:tr>
      <w:tr>
        <w:tc>
          <w:tcPr>
            <w:tcW w:type="dxa" w:w="2268"/>
          </w:tcPr>
          <w:p>
            <w:r>
              <w:t>VG Asia ex Japan</w:t>
            </w:r>
          </w:p>
        </w:tc>
        <w:tc>
          <w:tcPr>
            <w:tcW w:type="dxa" w:w="1417"/>
          </w:tcPr>
          <w:p>
            <w:r>
              <w:t>23.91</w:t>
            </w:r>
          </w:p>
        </w:tc>
        <w:tc>
          <w:tcPr>
            <w:tcW w:type="dxa" w:w="1417"/>
          </w:tcPr>
          <w:p>
            <w:r>
              <w:t>16.49</w:t>
            </w:r>
          </w:p>
        </w:tc>
      </w:tr>
      <w:tr>
        <w:tc>
          <w:tcPr>
            <w:tcW w:type="dxa" w:w="2268"/>
          </w:tcPr>
          <w:p>
            <w:r>
              <w:rPr>
                <w:b/>
              </w:rPr>
              <w:t>BM: International Shares</w:t>
            </w:r>
          </w:p>
        </w:tc>
        <w:tc>
          <w:tcPr>
            <w:tcW w:type="dxa" w:w="1417"/>
          </w:tcPr>
          <w:p>
            <w:r>
              <w:rPr>
                <w:b/>
              </w:rPr>
              <w:t>20.47</w:t>
            </w:r>
          </w:p>
        </w:tc>
        <w:tc>
          <w:tcPr>
            <w:tcW w:type="dxa" w:w="1417"/>
          </w:tcPr>
          <w:p>
            <w:r>
              <w:rPr>
                <w:b/>
              </w:rPr>
              <w:t>18.75</w:t>
            </w:r>
          </w:p>
        </w:tc>
      </w:tr>
      <w:tr>
        <w:tc>
          <w:tcPr>
            <w:tcW w:type="dxa" w:w="2268"/>
          </w:tcPr>
          <w:p>
            <w:r>
              <w:t>VG Global Infra</w:t>
            </w:r>
          </w:p>
        </w:tc>
        <w:tc>
          <w:tcPr>
            <w:tcW w:type="dxa" w:w="1417"/>
          </w:tcPr>
          <w:p>
            <w:r>
              <w:t>11.49</w:t>
            </w:r>
          </w:p>
        </w:tc>
        <w:tc>
          <w:tcPr>
            <w:tcW w:type="dxa" w:w="1417"/>
          </w:tcPr>
          <w:p>
            <w:r>
              <w:t>11.7</w:t>
            </w:r>
          </w:p>
        </w:tc>
      </w:tr>
      <w:tr>
        <w:tc>
          <w:tcPr>
            <w:tcW w:type="dxa" w:w="2268"/>
          </w:tcPr>
          <w:p>
            <w:r>
              <w:t>iShares AREIT</w:t>
            </w:r>
          </w:p>
        </w:tc>
        <w:tc>
          <w:tcPr>
            <w:tcW w:type="dxa" w:w="1417"/>
          </w:tcPr>
          <w:p>
            <w:r>
              <w:t>12.62</w:t>
            </w:r>
          </w:p>
        </w:tc>
        <w:tc>
          <w:tcPr>
            <w:tcW w:type="dxa" w:w="1417"/>
          </w:tcPr>
          <w:p>
            <w:r>
              <w:t>18.67</w:t>
            </w:r>
          </w:p>
        </w:tc>
      </w:tr>
      <w:tr>
        <w:tc>
          <w:tcPr>
            <w:tcW w:type="dxa" w:w="2268"/>
          </w:tcPr>
          <w:p>
            <w:r>
              <w:t>iShares GREIT</w:t>
            </w:r>
          </w:p>
        </w:tc>
        <w:tc>
          <w:tcPr>
            <w:tcW w:type="dxa" w:w="1417"/>
          </w:tcPr>
          <w:p>
            <w:r>
              <w:t>0.21</w:t>
            </w:r>
          </w:p>
        </w:tc>
        <w:tc>
          <w:tcPr>
            <w:tcW w:type="dxa" w:w="1417"/>
          </w:tcPr>
          <w:p>
            <w:r>
              <w:t>7.72</w:t>
            </w:r>
          </w:p>
        </w:tc>
      </w:tr>
      <w:tr>
        <w:tc>
          <w:tcPr>
            <w:tcW w:type="dxa" w:w="2268"/>
          </w:tcPr>
          <w:p>
            <w:r>
              <w:rPr>
                <w:b/>
              </w:rPr>
              <w:t>BM: Real Assets</w:t>
            </w:r>
          </w:p>
        </w:tc>
        <w:tc>
          <w:tcPr>
            <w:tcW w:type="dxa" w:w="1417"/>
          </w:tcPr>
          <w:p>
            <w:r>
              <w:rPr>
                <w:b/>
              </w:rPr>
              <w:t>5.5</w:t>
            </w:r>
          </w:p>
        </w:tc>
        <w:tc>
          <w:tcPr>
            <w:tcW w:type="dxa" w:w="1417"/>
          </w:tcPr>
          <w:p>
            <w:r>
              <w:rPr>
                <w:b/>
              </w:rPr>
              <w:t>9.96</w:t>
            </w:r>
          </w:p>
        </w:tc>
      </w:tr>
      <w:tr>
        <w:tc>
          <w:tcPr>
            <w:tcW w:type="dxa" w:w="2268"/>
          </w:tcPr>
          <w:p>
            <w:r>
              <w:t>VE Global Listed P Private ETF</w:t>
            </w:r>
          </w:p>
        </w:tc>
        <w:tc>
          <w:tcPr>
            <w:tcW w:type="dxa" w:w="1417"/>
          </w:tcPr>
          <w:p>
            <w:r>
              <w:t>19.99</w:t>
            </w:r>
          </w:p>
        </w:tc>
        <w:tc>
          <w:tcPr>
            <w:tcW w:type="dxa" w:w="1417"/>
          </w:tcPr>
          <w:p>
            <w:r>
              <w:t>23.92</w:t>
            </w:r>
          </w:p>
        </w:tc>
      </w:tr>
      <w:tr>
        <w:tc>
          <w:tcPr>
            <w:tcW w:type="dxa" w:w="2268"/>
          </w:tcPr>
          <w:p>
            <w:r>
              <w:t>iShares Physical Gold</w:t>
            </w:r>
          </w:p>
        </w:tc>
        <w:tc>
          <w:tcPr>
            <w:tcW w:type="dxa" w:w="1417"/>
          </w:tcPr>
          <w:p>
            <w:r>
              <w:t>40.92</w:t>
            </w:r>
          </w:p>
        </w:tc>
        <w:tc>
          <w:tcPr>
            <w:tcW w:type="dxa" w:w="1417"/>
          </w:tcPr>
          <w:p>
            <w:r>
              <w:t>28.72</w:t>
            </w:r>
          </w:p>
        </w:tc>
      </w:tr>
      <w:tr>
        <w:tc>
          <w:tcPr>
            <w:tcW w:type="dxa" w:w="2268"/>
          </w:tcPr>
          <w:p>
            <w:r>
              <w:rPr>
                <w:b/>
              </w:rPr>
              <w:t>BM: Alternatives</w:t>
            </w:r>
          </w:p>
        </w:tc>
        <w:tc>
          <w:tcPr>
            <w:tcW w:type="dxa" w:w="1417"/>
          </w:tcPr>
          <w:p>
            <w:r>
              <w:rPr>
                <w:b/>
              </w:rPr>
              <w:t>4.34</w:t>
            </w:r>
          </w:p>
        </w:tc>
        <w:tc>
          <w:tcPr>
            <w:tcW w:type="dxa" w:w="1417"/>
          </w:tcPr>
          <w:p>
            <w:r>
              <w:rPr>
                <w:b/>
              </w:rPr>
              <w:t>4.42</w:t>
            </w:r>
          </w:p>
        </w:tc>
      </w:tr>
      <w:tr>
        <w:tc>
          <w:tcPr>
            <w:tcW w:type="dxa" w:w="2268"/>
          </w:tcPr>
          <w:p>
            <w:r>
              <w:t>iShares Aus Bond</w:t>
            </w:r>
          </w:p>
        </w:tc>
        <w:tc>
          <w:tcPr>
            <w:tcW w:type="dxa" w:w="1417"/>
          </w:tcPr>
          <w:p>
            <w:r>
              <w:t>4.15</w:t>
            </w:r>
          </w:p>
        </w:tc>
        <w:tc>
          <w:tcPr>
            <w:tcW w:type="dxa" w:w="1417"/>
          </w:tcPr>
          <w:p>
            <w:r>
              <w:t>4.69</w:t>
            </w:r>
          </w:p>
        </w:tc>
      </w:tr>
      <w:tr>
        <w:tc>
          <w:tcPr>
            <w:tcW w:type="dxa" w:w="2268"/>
          </w:tcPr>
          <w:p>
            <w:r>
              <w:t>iShares CPI Bond</w:t>
            </w:r>
          </w:p>
        </w:tc>
        <w:tc>
          <w:tcPr>
            <w:tcW w:type="dxa" w:w="1417"/>
          </w:tcPr>
          <w:p>
            <w:r>
              <w:t>1.73</w:t>
            </w:r>
          </w:p>
        </w:tc>
        <w:tc>
          <w:tcPr>
            <w:tcW w:type="dxa" w:w="1417"/>
          </w:tcPr>
          <w:p>
            <w:r>
              <w:t>2.97</w:t>
            </w:r>
          </w:p>
        </w:tc>
      </w:tr>
      <w:tr>
        <w:tc>
          <w:tcPr>
            <w:tcW w:type="dxa" w:w="2268"/>
          </w:tcPr>
          <w:p>
            <w:r>
              <w:t>iShares Globa Agg ESG</w:t>
            </w:r>
          </w:p>
        </w:tc>
        <w:tc>
          <w:tcPr>
            <w:tcW w:type="dxa" w:w="1417"/>
          </w:tcPr>
          <w:p>
            <w:r>
              <w:t>2.37</w:t>
            </w:r>
          </w:p>
        </w:tc>
        <w:tc>
          <w:tcPr>
            <w:tcW w:type="dxa" w:w="1417"/>
          </w:tcPr>
          <w:p>
            <w:r>
              <w:t>4.19</w:t>
            </w:r>
          </w:p>
        </w:tc>
      </w:tr>
      <w:tr>
        <w:tc>
          <w:tcPr>
            <w:tcW w:type="dxa" w:w="2268"/>
          </w:tcPr>
          <w:p>
            <w:r>
              <w:rPr>
                <w:b/>
              </w:rPr>
              <w:t>BM: Duration</w:t>
            </w:r>
          </w:p>
        </w:tc>
        <w:tc>
          <w:tcPr>
            <w:tcW w:type="dxa" w:w="1417"/>
          </w:tcPr>
          <w:p>
            <w:r>
              <w:rPr>
                <w:b/>
              </w:rPr>
              <w:t>3.46</w:t>
            </w:r>
          </w:p>
        </w:tc>
        <w:tc>
          <w:tcPr>
            <w:tcW w:type="dxa" w:w="1417"/>
          </w:tcPr>
          <w:p>
            <w:r>
              <w:rPr>
                <w:b/>
              </w:rPr>
              <w:t>4.4</w:t>
            </w:r>
          </w:p>
        </w:tc>
      </w:tr>
      <w:tr>
        <w:tc>
          <w:tcPr>
            <w:tcW w:type="dxa" w:w="2268"/>
          </w:tcPr>
          <w:p>
            <w:r>
              <w:t>VanEck FRN</w:t>
            </w:r>
          </w:p>
        </w:tc>
        <w:tc>
          <w:tcPr>
            <w:tcW w:type="dxa" w:w="1417"/>
          </w:tcPr>
          <w:p>
            <w:r>
              <w:t>5.28</w:t>
            </w:r>
          </w:p>
        </w:tc>
        <w:tc>
          <w:tcPr>
            <w:tcW w:type="dxa" w:w="1417"/>
          </w:tcPr>
          <w:p>
            <w:r>
              <w:t>5.21</w:t>
            </w:r>
          </w:p>
        </w:tc>
      </w:tr>
      <w:tr>
        <w:tc>
          <w:tcPr>
            <w:tcW w:type="dxa" w:w="2268"/>
          </w:tcPr>
          <w:p>
            <w:r>
              <w:t>BetaShares Hybrids</w:t>
            </w:r>
          </w:p>
        </w:tc>
        <w:tc>
          <w:tcPr>
            <w:tcW w:type="dxa" w:w="1417"/>
          </w:tcPr>
          <w:p>
            <w:r>
              <w:t>4.75</w:t>
            </w:r>
          </w:p>
        </w:tc>
        <w:tc>
          <w:tcPr>
            <w:tcW w:type="dxa" w:w="1417"/>
          </w:tcPr>
          <w:p>
            <w:r>
              <w:t>5.83</w:t>
            </w:r>
          </w:p>
        </w:tc>
      </w:tr>
      <w:tr>
        <w:tc>
          <w:tcPr>
            <w:tcW w:type="dxa" w:w="2268"/>
          </w:tcPr>
          <w:p>
            <w:r>
              <w:t>iShares Enh Cash</w:t>
            </w:r>
          </w:p>
        </w:tc>
        <w:tc>
          <w:tcPr>
            <w:tcW w:type="dxa" w:w="1417"/>
          </w:tcPr>
          <w:p>
            <w:r>
              <w:t>4.46</w:t>
            </w:r>
          </w:p>
        </w:tc>
        <w:tc>
          <w:tcPr>
            <w:tcW w:type="dxa" w:w="1417"/>
          </w:tcPr>
          <w:p>
            <w:r>
              <w:t>4.53</w:t>
            </w:r>
          </w:p>
        </w:tc>
      </w:tr>
      <w:tr>
        <w:tc>
          <w:tcPr>
            <w:tcW w:type="dxa" w:w="2268"/>
          </w:tcPr>
          <w:p>
            <w:r>
              <w:rPr>
                <w:b/>
              </w:rPr>
              <w:t>BM: Floating</w:t>
            </w:r>
          </w:p>
        </w:tc>
        <w:tc>
          <w:tcPr>
            <w:tcW w:type="dxa" w:w="1417"/>
          </w:tcPr>
          <w:p>
            <w:r>
              <w:rPr>
                <w:b/>
              </w:rPr>
              <w:t>5.05</w:t>
            </w:r>
          </w:p>
        </w:tc>
        <w:tc>
          <w:tcPr>
            <w:tcW w:type="dxa" w:w="1417"/>
          </w:tcPr>
          <w:p>
            <w:r>
              <w:rPr>
                <w:b/>
              </w:rPr>
              <w:t>5.21</w:t>
            </w:r>
          </w:p>
        </w:tc>
      </w:tr>
      <w:tr>
        <w:tc>
          <w:tcPr>
            <w:tcW w:type="dxa" w:w="2268"/>
          </w:tcPr>
          <w:p>
            <w:r>
              <w:t>iShares Cash</w:t>
            </w:r>
          </w:p>
        </w:tc>
        <w:tc>
          <w:tcPr>
            <w:tcW w:type="dxa" w:w="1417"/>
          </w:tcPr>
          <w:p>
            <w:r>
              <w:t>4.35</w:t>
            </w:r>
          </w:p>
        </w:tc>
        <w:tc>
          <w:tcPr>
            <w:tcW w:type="dxa" w:w="1417"/>
          </w:tcPr>
          <w:p>
            <w:r>
              <w:t>4.41</w:t>
            </w:r>
          </w:p>
        </w:tc>
      </w:tr>
      <w:tr>
        <w:tc>
          <w:tcPr>
            <w:tcW w:type="dxa" w:w="2268"/>
          </w:tcPr>
          <w:p>
            <w:r>
              <w:t>Cash</w:t>
            </w:r>
          </w:p>
        </w:tc>
        <w:tc>
          <w:tcPr>
            <w:tcW w:type="dxa" w:w="1417"/>
          </w:tcPr>
          <w:p>
            <w:r>
              <w:t>4.34</w:t>
            </w:r>
          </w:p>
        </w:tc>
        <w:tc>
          <w:tcPr>
            <w:tcW w:type="dxa" w:w="1417"/>
          </w:tcPr>
          <w:p>
            <w:r>
              <w:t>4.42</w:t>
            </w:r>
          </w:p>
        </w:tc>
      </w:tr>
    </w:tbl>
    <w:p>
      <w:pPr>
        <w:pStyle w:val="Note"/>
      </w:pPr>
      <w:r>
        <w:t>Inception Date: 31 December 2022</w:t>
      </w:r>
    </w:p>
    <w:p>
      <w:pPr>
        <w:pStyle w:val="BodyStyle"/>
      </w:pPr>
      <w:r>
        <w:t>Underlying investment manager returns are shown after fees and before tax</w:t>
      </w:r>
    </w:p>
    <w:br w:type="column"/>
    <w:p>
      <w:pPr>
        <w:pStyle w:val="Heading2"/>
      </w:pPr>
      <w:r>
        <w:t>Market Update</w:t>
      </w:r>
    </w:p>
    <w:p>
      <w:pPr>
        <w:pStyle w:val="BodyStyle"/>
      </w:pPr>
      <w:r>
        <w:t>August delivered broad gains across global equities and bonds, driven by actual and expected rate cuts.</w:t>
        <w:br/>
        <w:br/>
        <w:t>9 of 11 S&amp;P/ASX 200 sectors advanced, with Materials and Consumer Discretionary leading gains. Meanwhile Health Care fell 13% due to a CSL sell-off following its spinoff announcement. Information Technology remained under pressure.</w:t>
        <w:br/>
        <w:br/>
        <w:t>Value, Equal Weight, and High Dividend each rose 6%. Growth lagged as the weakest performer year-to-date.</w:t>
        <w:br/>
        <w:br/>
        <w:t>Chinese equities outperformed, as onshore markets rebounded and narrowed the gap with offshore stocks.</w:t>
        <w:br/>
        <w:br/>
        <w:t>U.S. equities recorded a fourth consecutive month of gains, with the S&amp;P 500 rising 2% in August, despite a sharp final-day sell-off. Market sentiment was supported by optimism around potential Federal Reserve rate cuts and continued strength in Big Tech.</w:t>
        <w:br/>
        <w:br/>
        <w:t>The rally broadened across market segments, with mid- and small-cap stocks outperforming large caps.</w:t>
        <w:br/>
        <w:br/>
        <w:t>Most sectors posted positive returns, led by Materials and Health Care; Health Care recovered losses from July. Utilities was the only sector to decline.</w:t>
        <w:br/>
        <w:br/>
        <w:t>European equities gained for the month, extending their positive run for the quarter. Sector leaders were Health Care (+4%+) and Consumer Staples (+3%+). Information Technology, Utilities, and Industrials posted modest losses of under 2%, not enough to offset the index’s overall gains.</w:t>
        <w:br/>
        <w:br/>
        <w:t>US fixed income indices all posted gains amid fluctuating yields and shifting rate expectations.</w:t>
        <w:br/>
        <w:br/>
        <w:t>The Reserve Bank of Australia and Reserve Bank of New Zealand each reduced key rates by 25bps..</w:t>
        <w:br/>
        <w:br/>
        <w:t>Commodities participated in the rally, led by Livestock. Precious Metals strengthened, with Gold reaching another record high, driven by renewed safe-haven demand.</w:t>
        <w:br/>
        <w:br/>
      </w:r>
    </w:p>
    <w:p>
      <w:pPr>
        <w:pStyle w:val="Heading2"/>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5E14BC" w:rsidSect="00C91811">
      <w:type w:val="continuous"/>
      <w:pgSz w:w="11900" w:h="16840" w:code="9"/>
      <w:pgMar w:top="1081" w:right="418" w:bottom="0" w:left="426" w:header="2409" w:footer="1418" w:gutter="0"/>
      <w:titlePg/>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9681" w14:textId="77777777" w:rsidR="0057307B" w:rsidRDefault="0057307B" w:rsidP="007B4373">
      <w:r>
        <w:separator/>
      </w:r>
    </w:p>
  </w:endnote>
  <w:endnote w:type="continuationSeparator" w:id="0">
    <w:p w14:paraId="07388762" w14:textId="77777777" w:rsidR="0057307B" w:rsidRDefault="0057307B"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320" w14:textId="77777777" w:rsidR="00917CB2" w:rsidRDefault="0091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13D9491B" w:rsidR="0057386D" w:rsidRDefault="002F4B28"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7DD48469">
              <wp:simplePos x="0" y="0"/>
              <wp:positionH relativeFrom="margin">
                <wp:align>left</wp:align>
              </wp:positionH>
              <wp:positionV relativeFrom="page">
                <wp:posOffset>9782174</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C4CBBC" id="Straight Connector 9" o:spid="_x0000_s1026" style="position:absolute;flip:y;z-index:251649536;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0.25pt" to="546pt,7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654656" behindDoc="0" locked="0" layoutInCell="1" allowOverlap="1" wp14:anchorId="2E8614D7" wp14:editId="7DA07417">
              <wp:simplePos x="0" y="0"/>
              <wp:positionH relativeFrom="column">
                <wp:posOffset>6587490</wp:posOffset>
              </wp:positionH>
              <wp:positionV relativeFrom="page">
                <wp:posOffset>9906000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780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4A416560" w:rsidR="005F6BD8" w:rsidRDefault="00B318C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49DAF355">
              <wp:simplePos x="0" y="0"/>
              <wp:positionH relativeFrom="margin">
                <wp:align>left</wp:align>
              </wp:positionH>
              <wp:positionV relativeFrom="page">
                <wp:posOffset>9791699</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3752E5" id="Straight Connector 4" o:spid="_x0000_s1026" style="position:absolute;z-index:251719168;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1pt" to="535.5pt,7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720192" behindDoc="0" locked="0" layoutInCell="1" allowOverlap="1" wp14:anchorId="49980B01" wp14:editId="653AF6A8">
              <wp:simplePos x="0" y="0"/>
              <wp:positionH relativeFrom="column">
                <wp:posOffset>5968365</wp:posOffset>
              </wp:positionH>
              <wp:positionV relativeFrom="page">
                <wp:posOffset>9901555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779.6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B59F" w14:textId="77777777" w:rsidR="0057307B" w:rsidRDefault="0057307B" w:rsidP="007B4373">
      <w:r>
        <w:separator/>
      </w:r>
    </w:p>
  </w:footnote>
  <w:footnote w:type="continuationSeparator" w:id="0">
    <w:p w14:paraId="07B001D8" w14:textId="77777777" w:rsidR="0057307B" w:rsidRDefault="0057307B"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4DDC" w14:textId="77777777" w:rsidR="00917CB2" w:rsidRDefault="0091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7FAA60E5" w:rsidR="00D67117" w:rsidRDefault="002F4B28">
    <w:r w:rsidRPr="005A6718">
      <w:rPr>
        <w:b/>
        <w:bCs/>
        <w:noProof/>
      </w:rPr>
      <w:drawing>
        <wp:anchor distT="0" distB="288290" distL="0" distR="0" simplePos="0" relativeHeight="251724288" behindDoc="1" locked="0" layoutInCell="1" allowOverlap="1" wp14:anchorId="46544061" wp14:editId="55C5F6AD">
          <wp:simplePos x="0" y="0"/>
          <wp:positionH relativeFrom="page">
            <wp:posOffset>22860</wp:posOffset>
          </wp:positionH>
          <wp:positionV relativeFrom="page">
            <wp:posOffset>-64770</wp:posOffset>
          </wp:positionV>
          <wp:extent cx="7560000" cy="1702800"/>
          <wp:effectExtent l="0" t="0" r="3175" b="0"/>
          <wp:wrapSquare wrapText="bothSides"/>
          <wp:docPr id="64193971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97">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67307747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7749"/>
    <w:rsid w:val="000D087D"/>
    <w:rsid w:val="000D6FA5"/>
    <w:rsid w:val="000E01D9"/>
    <w:rsid w:val="000E1D69"/>
    <w:rsid w:val="000E1F6A"/>
    <w:rsid w:val="000E3930"/>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69A4"/>
    <w:rsid w:val="00273AFA"/>
    <w:rsid w:val="00296F75"/>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69E"/>
    <w:rsid w:val="00517E90"/>
    <w:rsid w:val="00521981"/>
    <w:rsid w:val="005250C4"/>
    <w:rsid w:val="00544C13"/>
    <w:rsid w:val="005460DA"/>
    <w:rsid w:val="0056683C"/>
    <w:rsid w:val="00567CEE"/>
    <w:rsid w:val="0057307B"/>
    <w:rsid w:val="0057386D"/>
    <w:rsid w:val="00582FF9"/>
    <w:rsid w:val="0059421B"/>
    <w:rsid w:val="00595E5D"/>
    <w:rsid w:val="005961BD"/>
    <w:rsid w:val="005968B1"/>
    <w:rsid w:val="005A0EF5"/>
    <w:rsid w:val="005A237C"/>
    <w:rsid w:val="005A26E3"/>
    <w:rsid w:val="005A45D0"/>
    <w:rsid w:val="005B0B31"/>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459D"/>
    <w:rsid w:val="00900F06"/>
    <w:rsid w:val="00904A1E"/>
    <w:rsid w:val="0090685D"/>
    <w:rsid w:val="00913EC6"/>
    <w:rsid w:val="00914225"/>
    <w:rsid w:val="00914411"/>
    <w:rsid w:val="00914957"/>
    <w:rsid w:val="00916C82"/>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747A6"/>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6C13"/>
    <w:rsid w:val="00D95C05"/>
    <w:rsid w:val="00DA335B"/>
    <w:rsid w:val="00DA62BD"/>
    <w:rsid w:val="00DB3D87"/>
    <w:rsid w:val="00DC7252"/>
    <w:rsid w:val="00DD0C88"/>
    <w:rsid w:val="00DD3C69"/>
    <w:rsid w:val="00DD4AF2"/>
    <w:rsid w:val="00DD5F51"/>
    <w:rsid w:val="00DD739B"/>
    <w:rsid w:val="00DE2A58"/>
    <w:rsid w:val="00DF422E"/>
    <w:rsid w:val="00E10391"/>
    <w:rsid w:val="00E20344"/>
    <w:rsid w:val="00E22922"/>
    <w:rsid w:val="00E2313F"/>
    <w:rsid w:val="00E23AB5"/>
    <w:rsid w:val="00E34E9E"/>
    <w:rsid w:val="00E5036A"/>
    <w:rsid w:val="00E543AD"/>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Green">
    <w:name w:val="Heading1-Green"/>
    <w:basedOn w:val="Heading1"/>
    <w:qFormat/>
    <w:rsid w:val="000E3930"/>
    <w:pPr>
      <w:numPr>
        <w:numId w:val="0"/>
      </w:numPr>
    </w:pPr>
    <w:rPr>
      <w:color w:val="F17C11" w:themeColor="accent2"/>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Green">
    <w:name w:val="Heading2-Green"/>
    <w:basedOn w:val="Heading2-nonumbers"/>
    <w:qFormat/>
    <w:rsid w:val="000E3930"/>
    <w:rPr>
      <w:color w:val="F17C11" w:themeColor="accen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160</cp:revision>
  <cp:lastPrinted>2022-04-29T02:04:00Z</cp:lastPrinted>
  <dcterms:created xsi:type="dcterms:W3CDTF">2022-07-06T04:09:00Z</dcterms:created>
  <dcterms:modified xsi:type="dcterms:W3CDTF">2025-02-06T10:28:00Z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