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Euree Balanced Portfolio</w:t>
        <w:br/>
        <w:t>Performance Report</w:t>
        <w:br/>
        <w:br/>
      </w:r>
      <w:r>
        <w:rPr>
          <w:rFonts w:ascii="Arial" w:hAnsi="Arial"/>
          <w:color w:val="75C104"/>
          <w:sz w:val="40"/>
        </w:rPr>
        <w:t>20 February 2026</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8EE31-1C20-4AC1-9DC8-C9961CBFA6C6}"/>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