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F9ECC" w14:textId="77777777" w:rsidR="005E14BC" w:rsidRPr="001C33C8" w:rsidRDefault="005E14BC" w:rsidP="001C33C8"/>
    <w:p>
      <w:pPr>
        <w:pStyle w:val="Heading10"/>
        <w:tabs>
          <w:tab w:pos="10772" w:val="right"/>
        </w:tabs>
      </w:pPr>
      <w:r>
        <w:t>Euree Growth Portfolio</w:t>
      </w:r>
      <w:r>
        <w:tab/>
      </w:r>
      <w:r>
        <w:t>31 December 2025</w:t>
      </w:r>
    </w:p>
    <w:tbl>
      <w:tblPr>
        <w:tblStyle w:val="AtchisonTable1"/>
        <w:tblW w:type="auto" w:w="0"/>
        <w:tblLook w:firstColumn="1" w:firstRow="1" w:lastColumn="0" w:lastRow="0" w:noHBand="0" w:noVBand="1" w:val="04A0"/>
      </w:tblPr>
      <w:tblGrid>
        <w:gridCol w:w="1842"/>
        <w:gridCol w:w="1842"/>
        <w:gridCol w:w="1842"/>
        <w:gridCol w:w="1842"/>
        <w:gridCol w:w="1842"/>
        <w:gridCol w:w="1842"/>
      </w:tblGrid>
      <w:tr>
        <w:tc>
          <w:tcPr>
            <w:tcW w:type="dxa" w:w="2551"/>
          </w:tcPr>
          <w:p/>
        </w:tc>
        <w:tc>
          <w:tcPr>
            <w:tcW w:type="dxa" w:w="1644"/>
          </w:tcPr>
          <w:p>
            <w:r>
              <w:t>3 Months</w:t>
            </w:r>
          </w:p>
        </w:tc>
        <w:tc>
          <w:tcPr>
            <w:tcW w:type="dxa" w:w="1644"/>
          </w:tcPr>
          <w:p>
            <w:r>
              <w:t>6 Months</w:t>
            </w:r>
          </w:p>
        </w:tc>
        <w:tc>
          <w:tcPr>
            <w:tcW w:type="dxa" w:w="1644"/>
          </w:tcPr>
          <w:p>
            <w:r>
              <w:t>1 Year</w:t>
            </w:r>
          </w:p>
        </w:tc>
        <w:tc>
          <w:tcPr>
            <w:tcW w:type="dxa" w:w="1644"/>
          </w:tcPr>
          <w:p>
            <w:r>
              <w:t>2 Years (p.a.)</w:t>
            </w:r>
          </w:p>
        </w:tc>
        <w:tc>
          <w:tcPr>
            <w:tcW w:type="dxa" w:w="1644"/>
          </w:tcPr>
          <w:p>
            <w:r>
              <w:t>Since Inception (p.a.)</w:t>
            </w:r>
          </w:p>
        </w:tc>
      </w:tr>
      <w:tr>
        <w:tc>
          <w:tcPr>
            <w:tcW w:type="dxa" w:w="2551"/>
          </w:tcPr>
          <w:p>
            <w:r>
              <w:t>Euree_Growth</w:t>
            </w:r>
          </w:p>
        </w:tc>
        <w:tc>
          <w:tcPr>
            <w:tcW w:type="dxa" w:w="1644"/>
          </w:tcPr>
          <w:p>
            <w:r>
              <w:rPr>
                <w:b/>
              </w:rPr>
              <w:t>1.58</w:t>
            </w:r>
          </w:p>
        </w:tc>
        <w:tc>
          <w:tcPr>
            <w:tcW w:type="dxa" w:w="1644"/>
          </w:tcPr>
          <w:p>
            <w:r>
              <w:rPr>
                <w:b/>
              </w:rPr>
              <w:t>5.78</w:t>
            </w:r>
          </w:p>
        </w:tc>
        <w:tc>
          <w:tcPr>
            <w:tcW w:type="dxa" w:w="1644"/>
          </w:tcPr>
          <w:p>
            <w:r>
              <w:rPr>
                <w:b/>
              </w:rPr>
              <w:t>11.76</w:t>
            </w:r>
          </w:p>
        </w:tc>
        <w:tc>
          <w:tcPr>
            <w:tcW w:type="dxa" w:w="1644"/>
          </w:tcPr>
          <w:p>
            <w:r>
              <w:rPr>
                <w:b/>
              </w:rPr>
              <w:t>13.49</w:t>
            </w:r>
          </w:p>
        </w:tc>
        <w:tc>
          <w:tcPr>
            <w:tcW w:type="dxa" w:w="1644"/>
          </w:tcPr>
          <w:p>
            <w:r>
              <w:rPr>
                <w:b/>
              </w:rPr>
              <w:t>13.59</w:t>
            </w:r>
          </w:p>
        </w:tc>
      </w:tr>
      <w:tr>
        <w:tc>
          <w:tcPr>
            <w:tcW w:type="dxa" w:w="2551"/>
          </w:tcPr>
          <w:p>
            <w:r>
              <w:t>Peer Group</w:t>
            </w:r>
          </w:p>
        </w:tc>
        <w:tc>
          <w:tcPr>
            <w:tcW w:type="dxa" w:w="1644"/>
          </w:tcPr>
          <w:p>
            <w:r>
              <w:t>0.76</w:t>
            </w:r>
          </w:p>
        </w:tc>
        <w:tc>
          <w:tcPr>
            <w:tcW w:type="dxa" w:w="1644"/>
          </w:tcPr>
          <w:p>
            <w:r>
              <w:t>4.06</w:t>
            </w:r>
          </w:p>
        </w:tc>
        <w:tc>
          <w:tcPr>
            <w:tcW w:type="dxa" w:w="1644"/>
          </w:tcPr>
          <w:p>
            <w:r>
              <w:t>8.26</w:t>
            </w:r>
          </w:p>
        </w:tc>
        <w:tc>
          <w:tcPr>
            <w:tcW w:type="dxa" w:w="1644"/>
          </w:tcPr>
          <w:p>
            <w:r>
              <w:t>9.99</w:t>
            </w:r>
          </w:p>
        </w:tc>
        <w:tc>
          <w:tcPr>
            <w:tcW w:type="dxa" w:w="1644"/>
          </w:tcPr>
          <w:p>
            <w:r>
              <w:t>10.42</w:t>
            </w:r>
          </w:p>
        </w:tc>
      </w:tr>
      <w:tr>
        <w:tc>
          <w:tcPr>
            <w:tcW w:type="dxa" w:w="2551"/>
          </w:tcPr>
          <w:p>
            <w:r>
              <w:t>Inflation</w:t>
            </w:r>
          </w:p>
        </w:tc>
        <w:tc>
          <w:tcPr>
            <w:tcW w:type="dxa" w:w="1644"/>
          </w:tcPr>
          <w:p>
            <w:r>
              <w:t>1.82</w:t>
            </w:r>
          </w:p>
        </w:tc>
        <w:tc>
          <w:tcPr>
            <w:tcW w:type="dxa" w:w="1644"/>
          </w:tcPr>
          <w:p>
            <w:r>
              <w:t>4.61</w:t>
            </w:r>
          </w:p>
        </w:tc>
        <w:tc>
          <w:tcPr>
            <w:tcW w:type="dxa" w:w="1644"/>
          </w:tcPr>
          <w:p>
            <w:r>
              <w:t>8.03</w:t>
            </w:r>
          </w:p>
        </w:tc>
        <w:tc>
          <w:tcPr>
            <w:tcW w:type="dxa" w:w="1644"/>
          </w:tcPr>
          <w:p>
            <w:r>
              <w:t>7.33</w:t>
            </w:r>
          </w:p>
        </w:tc>
        <w:tc>
          <w:tcPr>
            <w:tcW w:type="dxa" w:w="1644"/>
          </w:tcPr>
          <w:p>
            <w:r>
              <w:t>7.85</w:t>
            </w:r>
          </w:p>
        </w:tc>
      </w:tr>
      <w:tr>
        <w:tc>
          <w:tcPr>
            <w:tcW w:type="dxa" w:w="2551"/>
          </w:tcPr>
          <w:p>
            <w:r>
              <w:t>Outperformance vs Peers</w:t>
            </w:r>
          </w:p>
        </w:tc>
        <w:tc>
          <w:tcPr>
            <w:tcW w:type="dxa" w:w="1644"/>
          </w:tcPr>
          <w:p>
            <w:r>
              <w:t>0.82</w:t>
            </w:r>
          </w:p>
        </w:tc>
        <w:tc>
          <w:tcPr>
            <w:tcW w:type="dxa" w:w="1644"/>
          </w:tcPr>
          <w:p>
            <w:r>
              <w:t>1.73</w:t>
            </w:r>
          </w:p>
        </w:tc>
        <w:tc>
          <w:tcPr>
            <w:tcW w:type="dxa" w:w="1644"/>
          </w:tcPr>
          <w:p>
            <w:r>
              <w:t>3.5</w:t>
            </w:r>
          </w:p>
        </w:tc>
        <w:tc>
          <w:tcPr>
            <w:tcW w:type="dxa" w:w="1644"/>
          </w:tcPr>
          <w:p>
            <w:r>
              <w:t>3.5</w:t>
            </w:r>
          </w:p>
        </w:tc>
        <w:tc>
          <w:tcPr>
            <w:tcW w:type="dxa" w:w="1644"/>
          </w:tcPr>
          <w:p>
            <w:r>
              <w:t>3.17</w:t>
            </w:r>
          </w:p>
        </w:tc>
      </w:tr>
      <w:tr>
        <w:tc>
          <w:tcPr>
            <w:tcW w:type="dxa" w:w="2551"/>
          </w:tcPr>
          <w:p>
            <w:r>
              <w:t>Outperformance vs Inflation</w:t>
            </w:r>
          </w:p>
        </w:tc>
        <w:tc>
          <w:tcPr>
            <w:tcW w:type="dxa" w:w="1644"/>
          </w:tcPr>
          <w:p>
            <w:r>
              <w:t>-0.24</w:t>
            </w:r>
          </w:p>
        </w:tc>
        <w:tc>
          <w:tcPr>
            <w:tcW w:type="dxa" w:w="1644"/>
          </w:tcPr>
          <w:p>
            <w:r>
              <w:t>1.17</w:t>
            </w:r>
          </w:p>
        </w:tc>
        <w:tc>
          <w:tcPr>
            <w:tcW w:type="dxa" w:w="1644"/>
          </w:tcPr>
          <w:p>
            <w:r>
              <w:t>3.73</w:t>
            </w:r>
          </w:p>
        </w:tc>
        <w:tc>
          <w:tcPr>
            <w:tcW w:type="dxa" w:w="1644"/>
          </w:tcPr>
          <w:p>
            <w:r>
              <w:t>6.16</w:t>
            </w:r>
          </w:p>
        </w:tc>
        <w:tc>
          <w:tcPr>
            <w:tcW w:type="dxa" w:w="1644"/>
          </w:tcPr>
          <w:p>
            <w:r>
              <w:t>5.74</w:t>
            </w:r>
          </w:p>
        </w:tc>
      </w:tr>
    </w:tbl>
    <w:p>
      <w:pPr>
        <w:pStyle w:val="Note"/>
      </w:pPr>
      <w:r>
        <w:t>Inception Date: 22 August 2023</w:t>
      </w:r>
    </w:p>
    <w:p>
      <w:pPr>
        <w:sectPr>
          <w:headerReference w:type="default" r:id="rId11"/>
          <w:footerReference w:type="default" r:id="rId12"/>
          <w:headerReference w:type="first" r:id="rId13"/>
          <w:footerReference w:type="first" r:id="rId14"/>
          <w:type w:val="continuous"/>
          <w:pgSz w:w="11900" w:h="16840" w:code="9"/>
          <w:pgMar w:top="0" w:right="420" w:bottom="0" w:left="425" w:header="0" w:footer="451" w:gutter="0"/>
          <w:cols w:space="284"/>
          <w:docGrid w:linePitch="360"/>
        </w:sectPr>
      </w:pPr>
    </w:p>
    <w:p>
      <w:pPr>
        <w:pStyle w:val="Heading20"/>
      </w:pPr>
      <w:r>
        <w:t>Investment Objective</w:t>
      </w:r>
    </w:p>
    <w:p>
      <w:pPr>
        <w:pStyle w:val="BodyStyle"/>
      </w:pPr>
      <w:r>
        <w:t>The Fund will invest in a mixture of asset classes to form a multi-asset portfolio with the aim to earn Investors a return of CPI +4% p.a. after manaement fees (before performace fee) and before tax,  over rolling 7-year periods.</w:t>
      </w:r>
    </w:p>
    <w:p>
      <w:pPr>
        <w:pStyle w:val="Heading20"/>
      </w:pPr>
      <w:r>
        <w:t>Strategy Overview</w:t>
      </w:r>
    </w:p>
    <w:p>
      <w:pPr>
        <w:pStyle w:val="BodyStyle"/>
      </w:pPr>
      <w:r>
        <w:t>The Fund will use a combination of strategic asset allocation taking into account long term projections on asset class performance, short term dynamic asset allocation tilts,and passive and active investment managment to provide returns and mitigate risk in the medium term.</w:t>
      </w:r>
    </w:p>
    <w:tbl>
      <w:tblPr>
        <w:tblStyle w:val="AtchisonTable1"/>
        <w:tblW w:type="auto" w:w="0"/>
        <w:tblLook w:firstColumn="1" w:firstRow="1" w:lastColumn="0" w:lastRow="0" w:noHBand="0" w:noVBand="1" w:val="04A0"/>
      </w:tblPr>
      <w:tblGrid>
        <w:gridCol w:w="5527"/>
        <w:gridCol w:w="5527"/>
      </w:tblGrid>
      <w:tr>
        <w:tc>
          <w:tcPr>
            <w:tcW w:type="dxa" w:w="2268"/>
          </w:tcPr>
          <w:p>
            <w:r>
              <w:t>Key Details</w:t>
            </w:r>
          </w:p>
        </w:tc>
        <w:tc>
          <w:tcPr>
            <w:tcW w:type="dxa" w:w="3118"/>
          </w:tcPr>
          <w:p>
            <w:r/>
          </w:p>
        </w:tc>
      </w:tr>
      <w:tr>
        <w:tc>
          <w:tcPr>
            <w:tcW w:type="dxa" w:w="2268"/>
          </w:tcPr>
          <w:p>
            <w:r>
              <w:t>Strategy Category</w:t>
            </w:r>
          </w:p>
        </w:tc>
        <w:tc>
          <w:tcPr>
            <w:tcW w:type="dxa" w:w="3118"/>
          </w:tcPr>
          <w:p>
            <w:r>
              <w:t>Multi Asset</w:t>
            </w:r>
          </w:p>
        </w:tc>
      </w:tr>
      <w:tr>
        <w:tc>
          <w:tcPr>
            <w:tcW w:type="dxa" w:w="2268"/>
          </w:tcPr>
          <w:p>
            <w:r>
              <w:t>Strategy Provider</w:t>
            </w:r>
          </w:p>
        </w:tc>
        <w:tc>
          <w:tcPr>
            <w:tcW w:type="dxa" w:w="3118"/>
          </w:tcPr>
          <w:p>
            <w:r>
              <w:t>Euree</w:t>
            </w:r>
          </w:p>
        </w:tc>
      </w:tr>
      <w:tr>
        <w:tc>
          <w:tcPr>
            <w:tcW w:type="dxa" w:w="2268"/>
          </w:tcPr>
          <w:p>
            <w:r>
              <w:t>Benchmark</w:t>
            </w:r>
          </w:p>
        </w:tc>
        <w:tc>
          <w:tcPr>
            <w:tcW w:type="dxa" w:w="3118"/>
          </w:tcPr>
          <w:p>
            <w:r>
              <w:t>The Fund will invest in a mixture of asset classes to form a multi-asset portfolio with the aim to earn Investors a return of CPI +4% p.a. after manaement fees (before performace fee) and before tax,  over rolling 7-year periods.</w:t>
            </w:r>
          </w:p>
        </w:tc>
      </w:tr>
      <w:tr>
        <w:tc>
          <w:tcPr>
            <w:tcW w:type="dxa" w:w="2268"/>
          </w:tcPr>
          <w:p>
            <w:r>
              <w:t>Inception Date</w:t>
            </w:r>
          </w:p>
        </w:tc>
        <w:tc>
          <w:tcPr>
            <w:tcW w:type="dxa" w:w="3118"/>
          </w:tcPr>
          <w:p>
            <w:r>
              <w:t>22 August 2023</w:t>
            </w:r>
          </w:p>
        </w:tc>
      </w:tr>
      <w:tr>
        <w:tc>
          <w:tcPr>
            <w:tcW w:type="dxa" w:w="2268"/>
          </w:tcPr>
          <w:p>
            <w:r>
              <w:t>Investment Horizon</w:t>
            </w:r>
          </w:p>
        </w:tc>
        <w:tc>
          <w:tcPr>
            <w:tcW w:type="dxa" w:w="3118"/>
          </w:tcPr>
          <w:p>
            <w:r>
              <w:t>7 Years</w:t>
            </w:r>
          </w:p>
        </w:tc>
      </w:tr>
      <w:tr>
        <w:tc>
          <w:tcPr>
            <w:tcW w:type="dxa" w:w="2268"/>
          </w:tcPr>
          <w:p>
            <w:r>
              <w:t>Risk Level (SRM)</w:t>
            </w:r>
          </w:p>
        </w:tc>
        <w:tc>
          <w:tcPr>
            <w:tcW w:type="dxa" w:w="3118"/>
          </w:tcPr>
          <w:p>
            <w:r>
              <w:t>High</w:t>
            </w:r>
          </w:p>
        </w:tc>
      </w:tr>
      <w:tr>
        <w:tc>
          <w:tcPr>
            <w:tcW w:type="dxa" w:w="2268"/>
          </w:tcPr>
          <w:p>
            <w:r>
              <w:t>Min Investment</w:t>
            </w:r>
          </w:p>
        </w:tc>
        <w:tc>
          <w:tcPr>
            <w:tcW w:type="dxa" w:w="3118"/>
          </w:tcPr>
          <w:p>
            <w:r>
              <w:t>10k</w:t>
            </w:r>
          </w:p>
        </w:tc>
      </w:tr>
      <w:tr>
        <w:tc>
          <w:tcPr>
            <w:tcW w:type="dxa" w:w="2268"/>
          </w:tcPr>
          <w:p>
            <w:r>
              <w:t>Product Fee</w:t>
            </w:r>
          </w:p>
        </w:tc>
        <w:tc>
          <w:tcPr>
            <w:tcW w:type="dxa" w:w="3118"/>
          </w:tcPr>
          <w:p>
            <w:r>
              <w:t>nan</w:t>
            </w:r>
          </w:p>
        </w:tc>
      </w:tr>
      <w:tr>
        <w:tc>
          <w:tcPr>
            <w:tcW w:type="dxa" w:w="2268"/>
          </w:tcPr>
          <w:p>
            <w:r>
              <w:t>Underlying MER</w:t>
            </w:r>
          </w:p>
        </w:tc>
        <w:tc>
          <w:tcPr>
            <w:tcW w:type="dxa" w:w="3118"/>
          </w:tcPr>
          <w:p>
            <w:r>
              <w:t>0.95%</w:t>
            </w:r>
          </w:p>
        </w:tc>
      </w:tr>
      <w:tr>
        <w:tc>
          <w:tcPr>
            <w:tcW w:type="dxa" w:w="2268"/>
          </w:tcPr>
          <w:p>
            <w:r>
              <w:t>Underlying Perf Fees</w:t>
            </w:r>
          </w:p>
        </w:tc>
        <w:tc>
          <w:tcPr>
            <w:tcW w:type="dxa" w:w="3118"/>
          </w:tcPr>
          <w:p>
            <w:r>
              <w:t>nan</w:t>
            </w:r>
          </w:p>
        </w:tc>
      </w:tr>
    </w:tbl>
    <w:p>
      <w:pPr>
        <w:pStyle w:val="Heading30"/>
      </w:pPr>
      <w:r>
        <w:t>Top 10 Share Exposures</w:t>
      </w:r>
    </w:p>
    <w:tbl>
      <w:tblPr>
        <w:tblStyle w:val="AtchisonTable1"/>
        <w:tblW w:type="auto" w:w="0"/>
        <w:tblLook w:firstColumn="1" w:firstRow="1" w:lastColumn="0" w:lastRow="0" w:noHBand="0" w:noVBand="1" w:val="04A0"/>
      </w:tblPr>
      <w:tblGrid>
        <w:gridCol w:w="5527"/>
        <w:gridCol w:w="5527"/>
      </w:tblGrid>
      <w:tr>
        <w:tc>
          <w:tcPr>
            <w:tcW w:type="dxa" w:w="1417"/>
          </w:tcPr>
          <w:p>
            <w:r>
              <w:rPr>
                <w:b/>
              </w:rPr>
              <w:t>Code</w:t>
            </w:r>
          </w:p>
        </w:tc>
        <w:tc>
          <w:tcPr>
            <w:tcW w:type="dxa" w:w="3685"/>
          </w:tcPr>
          <w:p>
            <w:r>
              <w:rPr>
                <w:b/>
              </w:rPr>
              <w:t>Name</w:t>
            </w:r>
          </w:p>
        </w:tc>
      </w:tr>
      <w:tr>
        <w:tc>
          <w:tcPr>
            <w:tcW w:type="dxa" w:w="1417"/>
          </w:tcPr>
          <w:p>
            <w:r>
              <w:t>QRI-AU</w:t>
            </w:r>
          </w:p>
        </w:tc>
        <w:tc>
          <w:tcPr>
            <w:tcW w:type="dxa" w:w="3685"/>
          </w:tcPr>
          <w:p>
            <w:r>
              <w:t>Qualitas Real Estate Income Fund</w:t>
            </w:r>
          </w:p>
        </w:tc>
      </w:tr>
      <w:tr>
        <w:tc>
          <w:tcPr>
            <w:tcW w:type="dxa" w:w="1417"/>
          </w:tcPr>
          <w:p>
            <w:r>
              <w:t>BHP-AU</w:t>
            </w:r>
          </w:p>
        </w:tc>
        <w:tc>
          <w:tcPr>
            <w:tcW w:type="dxa" w:w="3685"/>
          </w:tcPr>
          <w:p>
            <w:r>
              <w:t>BHP Group Limited</w:t>
            </w:r>
          </w:p>
        </w:tc>
      </w:tr>
      <w:tr>
        <w:tc>
          <w:tcPr>
            <w:tcW w:type="dxa" w:w="1417"/>
          </w:tcPr>
          <w:p>
            <w:r>
              <w:t>CBA-AU</w:t>
            </w:r>
          </w:p>
        </w:tc>
        <w:tc>
          <w:tcPr>
            <w:tcW w:type="dxa" w:w="3685"/>
          </w:tcPr>
          <w:p>
            <w:r>
              <w:t>Commonwealth Bank of Australia</w:t>
            </w:r>
          </w:p>
        </w:tc>
      </w:tr>
      <w:tr>
        <w:tc>
          <w:tcPr>
            <w:tcW w:type="dxa" w:w="1417"/>
          </w:tcPr>
          <w:p>
            <w:r>
              <w:t>NAB-AU</w:t>
            </w:r>
          </w:p>
        </w:tc>
        <w:tc>
          <w:tcPr>
            <w:tcW w:type="dxa" w:w="3685"/>
          </w:tcPr>
          <w:p>
            <w:r>
              <w:t>National Australia Bank Limited</w:t>
            </w:r>
          </w:p>
        </w:tc>
      </w:tr>
      <w:tr>
        <w:tc>
          <w:tcPr>
            <w:tcW w:type="dxa" w:w="1417"/>
          </w:tcPr>
          <w:p>
            <w:r>
              <w:t>ANZ-AU</w:t>
            </w:r>
          </w:p>
        </w:tc>
        <w:tc>
          <w:tcPr>
            <w:tcW w:type="dxa" w:w="3685"/>
          </w:tcPr>
          <w:p>
            <w:r>
              <w:t>ANZ Group Holdings Limited</w:t>
            </w:r>
          </w:p>
        </w:tc>
      </w:tr>
      <w:tr>
        <w:tc>
          <w:tcPr>
            <w:tcW w:type="dxa" w:w="1417"/>
          </w:tcPr>
          <w:p>
            <w:r>
              <w:t>WBC-AU</w:t>
            </w:r>
          </w:p>
        </w:tc>
        <w:tc>
          <w:tcPr>
            <w:tcW w:type="dxa" w:w="3685"/>
          </w:tcPr>
          <w:p>
            <w:r>
              <w:t>Westpac Banking Corporation</w:t>
            </w:r>
          </w:p>
        </w:tc>
      </w:tr>
      <w:tr>
        <w:tc>
          <w:tcPr>
            <w:tcW w:type="dxa" w:w="1417"/>
          </w:tcPr>
          <w:p>
            <w:r>
              <w:t>CSL-AU</w:t>
            </w:r>
          </w:p>
        </w:tc>
        <w:tc>
          <w:tcPr>
            <w:tcW w:type="dxa" w:w="3685"/>
          </w:tcPr>
          <w:p>
            <w:r>
              <w:t>CSL Limited</w:t>
            </w:r>
          </w:p>
        </w:tc>
      </w:tr>
      <w:tr>
        <w:tc>
          <w:tcPr>
            <w:tcW w:type="dxa" w:w="1417"/>
          </w:tcPr>
          <w:p>
            <w:r>
              <w:t>WDS-AU</w:t>
            </w:r>
          </w:p>
        </w:tc>
        <w:tc>
          <w:tcPr>
            <w:tcW w:type="dxa" w:w="3685"/>
          </w:tcPr>
          <w:p>
            <w:r>
              <w:t>Woodside Energy Group Ltd</w:t>
            </w:r>
          </w:p>
        </w:tc>
      </w:tr>
      <w:tr>
        <w:tc>
          <w:tcPr>
            <w:tcW w:type="dxa" w:w="1417"/>
          </w:tcPr>
          <w:p>
            <w:r>
              <w:t>WES-AU</w:t>
            </w:r>
          </w:p>
        </w:tc>
        <w:tc>
          <w:tcPr>
            <w:tcW w:type="dxa" w:w="3685"/>
          </w:tcPr>
          <w:p>
            <w:r>
              <w:t>Wesfarmers Limited</w:t>
            </w:r>
          </w:p>
        </w:tc>
      </w:tr>
      <w:tr>
        <w:tc>
          <w:tcPr>
            <w:tcW w:type="dxa" w:w="1417"/>
          </w:tcPr>
          <w:p>
            <w:r>
              <w:t>MSFT.NAS</w:t>
            </w:r>
          </w:p>
        </w:tc>
        <w:tc>
          <w:tcPr>
            <w:tcW w:type="dxa" w:w="3685"/>
          </w:tcPr>
          <w:p>
            <w:r>
              <w:t>MICROSOFT CORP</w:t>
            </w:r>
          </w:p>
        </w:tc>
      </w:tr>
    </w:tbl>
    <w:br w:type="column"/>
    <w:p>
      <w:pPr>
        <w:pStyle w:val="Heading30"/>
      </w:pPr>
      <w:r>
        <w:t>Strategy Performance</w:t>
      </w:r>
    </w:p>
    <w:p>
      <w:r>
        <w:drawing>
          <wp:inline xmlns:a="http://schemas.openxmlformats.org/drawingml/2006/main" xmlns:pic="http://schemas.openxmlformats.org/drawingml/2006/picture">
            <wp:extent cx="3240000" cy="1800000"/>
            <wp:docPr id="1" name="Picture 1"/>
            <wp:cNvGraphicFramePr>
              <a:graphicFrameLocks noChangeAspect="1"/>
            </wp:cNvGraphicFramePr>
            <a:graphic>
              <a:graphicData uri="http://schemas.openxmlformats.org/drawingml/2006/picture">
                <pic:pic>
                  <pic:nvPicPr>
                    <pic:cNvPr id="0" name="1_Performance-Main_v2.png"/>
                    <pic:cNvPicPr/>
                  </pic:nvPicPr>
                  <pic:blipFill>
                    <a:blip r:embed="rId17"/>
                    <a:stretch>
                      <a:fillRect/>
                    </a:stretch>
                  </pic:blipFill>
                  <pic:spPr>
                    <a:xfrm>
                      <a:off x="0" y="0"/>
                      <a:ext cx="3240000" cy="1800000"/>
                    </a:xfrm>
                    <a:prstGeom prst="rect"/>
                  </pic:spPr>
                </pic:pic>
              </a:graphicData>
            </a:graphic>
          </wp:inline>
        </w:drawing>
      </w:r>
    </w:p>
    <w:p>
      <w:pPr>
        <w:pStyle w:val="Heading30"/>
      </w:pPr>
      <w:r>
        <w:t>Cumulative Performance Since Inception</w:t>
      </w:r>
    </w:p>
    <w:p>
      <w:r>
        <w:drawing>
          <wp:inline xmlns:a="http://schemas.openxmlformats.org/drawingml/2006/main" xmlns:pic="http://schemas.openxmlformats.org/drawingml/2006/picture">
            <wp:extent cx="3240000" cy="2160000"/>
            <wp:docPr id="2" name="Picture 2"/>
            <wp:cNvGraphicFramePr>
              <a:graphicFrameLocks noChangeAspect="1"/>
            </wp:cNvGraphicFramePr>
            <a:graphic>
              <a:graphicData uri="http://schemas.openxmlformats.org/drawingml/2006/picture">
                <pic:pic>
                  <pic:nvPicPr>
                    <pic:cNvPr id="0" name="1_Performance-Cum_v2.png"/>
                    <pic:cNvPicPr/>
                  </pic:nvPicPr>
                  <pic:blipFill>
                    <a:blip r:embed="rId18"/>
                    <a:stretch>
                      <a:fillRect/>
                    </a:stretch>
                  </pic:blipFill>
                  <pic:spPr>
                    <a:xfrm>
                      <a:off x="0" y="0"/>
                      <a:ext cx="3240000" cy="2160000"/>
                    </a:xfrm>
                    <a:prstGeom prst="rect"/>
                  </pic:spPr>
                </pic:pic>
              </a:graphicData>
            </a:graphic>
          </wp:inline>
        </w:drawing>
      </w:r>
    </w:p>
    <w:p>
      <w:pPr>
        <w:pStyle w:val="Heading30"/>
      </w:pPr>
      <w:r>
        <w:t>Portfolio Allocations</w:t>
      </w:r>
    </w:p>
    <w:p>
      <w:r>
        <w:drawing>
          <wp:inline xmlns:a="http://schemas.openxmlformats.org/drawingml/2006/main" xmlns:pic="http://schemas.openxmlformats.org/drawingml/2006/picture">
            <wp:extent cx="3240000" cy="1800000"/>
            <wp:docPr id="3" name="Picture 3"/>
            <wp:cNvGraphicFramePr>
              <a:graphicFrameLocks noChangeAspect="1"/>
            </wp:cNvGraphicFramePr>
            <a:graphic>
              <a:graphicData uri="http://schemas.openxmlformats.org/drawingml/2006/picture">
                <pic:pic>
                  <pic:nvPicPr>
                    <pic:cNvPr id="0" name="3_Alloc_Ranges.png"/>
                    <pic:cNvPicPr/>
                  </pic:nvPicPr>
                  <pic:blipFill>
                    <a:blip r:embed="rId19"/>
                    <a:stretch>
                      <a:fillRect/>
                    </a:stretch>
                  </pic:blipFill>
                  <pic:spPr>
                    <a:xfrm>
                      <a:off x="0" y="0"/>
                      <a:ext cx="3240000" cy="1800000"/>
                    </a:xfrm>
                    <a:prstGeom prst="rect"/>
                  </pic:spPr>
                </pic:pic>
              </a:graphicData>
            </a:graphic>
          </wp:inline>
        </w:drawing>
      </w:r>
    </w:p>
    <w:br w:type="column"/>
    <w:p>
      <w:pPr>
        <w:pStyle w:val="Heading30"/>
      </w:pPr>
      <w:r>
        <w:t>Asset Class Performance</w:t>
      </w:r>
    </w:p>
    <w:tbl>
      <w:tblPr>
        <w:tblStyle w:val="AtchisonTable1"/>
        <w:tblW w:type="auto" w:w="0"/>
        <w:tblLook w:firstColumn="1" w:firstRow="1" w:lastColumn="0" w:lastRow="0" w:noHBand="0" w:noVBand="1" w:val="04A0"/>
      </w:tblPr>
      <w:tblGrid>
        <w:gridCol w:w="5527"/>
        <w:gridCol w:w="5527"/>
      </w:tblGrid>
      <w:tr>
        <w:tc>
          <w:tcPr>
            <w:tcW w:type="dxa" w:w="1984"/>
          </w:tcPr>
          <w:p>
            <w:r>
              <w:rPr>
                <w:b/>
              </w:rPr>
              <w:t>Period</w:t>
            </w:r>
          </w:p>
        </w:tc>
        <w:tc>
          <w:tcPr>
            <w:tcW w:type="dxa" w:w="3118"/>
          </w:tcPr>
          <w:p>
            <w:r>
              <w:rPr>
                <w:b/>
              </w:rPr>
              <w:t>1 Year</w:t>
            </w:r>
          </w:p>
        </w:tc>
      </w:tr>
      <w:tr>
        <w:tc>
          <w:tcPr>
            <w:tcW w:type="dxa" w:w="1984"/>
          </w:tcPr>
          <w:p>
            <w:r>
              <w:t>Australian Shares</w:t>
            </w:r>
          </w:p>
        </w:tc>
        <w:tc>
          <w:tcPr>
            <w:tcW w:type="dxa" w:w="3118"/>
          </w:tcPr>
          <w:p>
            <w:r>
              <w:t>8.8</w:t>
            </w:r>
          </w:p>
        </w:tc>
      </w:tr>
      <w:tr>
        <w:tc>
          <w:tcPr>
            <w:tcW w:type="dxa" w:w="1984"/>
          </w:tcPr>
          <w:p>
            <w:r>
              <w:t>International Shares</w:t>
            </w:r>
          </w:p>
        </w:tc>
        <w:tc>
          <w:tcPr>
            <w:tcW w:type="dxa" w:w="3118"/>
          </w:tcPr>
          <w:p>
            <w:r>
              <w:t>14.27</w:t>
            </w:r>
          </w:p>
        </w:tc>
      </w:tr>
      <w:tr>
        <w:tc>
          <w:tcPr>
            <w:tcW w:type="dxa" w:w="1984"/>
          </w:tcPr>
          <w:p>
            <w:r>
              <w:t>Real Assets</w:t>
            </w:r>
          </w:p>
        </w:tc>
        <w:tc>
          <w:tcPr>
            <w:tcW w:type="dxa" w:w="3118"/>
          </w:tcPr>
          <w:p>
            <w:r>
              <w:t>11.96</w:t>
            </w:r>
          </w:p>
        </w:tc>
      </w:tr>
      <w:tr>
        <w:tc>
          <w:tcPr>
            <w:tcW w:type="dxa" w:w="1984"/>
          </w:tcPr>
          <w:p>
            <w:r>
              <w:t>Alternatives</w:t>
            </w:r>
          </w:p>
        </w:tc>
        <w:tc>
          <w:tcPr>
            <w:tcW w:type="dxa" w:w="3118"/>
          </w:tcPr>
          <w:p>
            <w:r>
              <w:t>23.96</w:t>
            </w:r>
          </w:p>
        </w:tc>
      </w:tr>
      <w:tr>
        <w:tc>
          <w:tcPr>
            <w:tcW w:type="dxa" w:w="1984"/>
          </w:tcPr>
          <w:p>
            <w:r>
              <w:t>Long Duration</w:t>
            </w:r>
          </w:p>
        </w:tc>
        <w:tc>
          <w:tcPr>
            <w:tcW w:type="dxa" w:w="3118"/>
          </w:tcPr>
          <w:p>
            <w:r>
              <w:t>2.21</w:t>
            </w:r>
          </w:p>
        </w:tc>
      </w:tr>
      <w:tr>
        <w:tc>
          <w:tcPr>
            <w:tcW w:type="dxa" w:w="1984"/>
          </w:tcPr>
          <w:p>
            <w:r>
              <w:t>Floating Rate</w:t>
            </w:r>
          </w:p>
        </w:tc>
        <w:tc>
          <w:tcPr>
            <w:tcW w:type="dxa" w:w="3118"/>
          </w:tcPr>
          <w:p>
            <w:r>
              <w:t>5.62</w:t>
            </w:r>
          </w:p>
        </w:tc>
      </w:tr>
      <w:tr>
        <w:tc>
          <w:tcPr>
            <w:tcW w:type="dxa" w:w="1984"/>
          </w:tcPr>
          <w:p>
            <w:r>
              <w:t>Cash</w:t>
            </w:r>
          </w:p>
        </w:tc>
        <w:tc>
          <w:tcPr>
            <w:tcW w:type="dxa" w:w="3118"/>
          </w:tcPr>
          <w:p>
            <w:r>
              <w:t>4.06</w:t>
            </w:r>
          </w:p>
        </w:tc>
      </w:tr>
    </w:tbl>
    <w:p>
      <w:pPr>
        <w:pStyle w:val="Note"/>
      </w:pPr>
      <w:r>
        <w:t>Inception Date: 22 August 2023</w:t>
      </w:r>
    </w:p>
    <w:p>
      <w:pPr>
        <w:pStyle w:val="Heading30"/>
      </w:pPr>
      <w:r>
        <w:t>Portfolio Construction</w:t>
      </w:r>
    </w:p>
    <w:p>
      <w:r>
        <w:drawing>
          <wp:inline xmlns:a="http://schemas.openxmlformats.org/drawingml/2006/main" xmlns:pic="http://schemas.openxmlformats.org/drawingml/2006/picture">
            <wp:extent cx="3240000" cy="2322000"/>
            <wp:docPr id="4" name="Picture 4"/>
            <wp:cNvGraphicFramePr>
              <a:graphicFrameLocks noChangeAspect="1"/>
            </wp:cNvGraphicFramePr>
            <a:graphic>
              <a:graphicData uri="http://schemas.openxmlformats.org/drawingml/2006/picture">
                <pic:pic>
                  <pic:nvPicPr>
                    <pic:cNvPr id="0" name="3_Alloc_Mgr_Level_5.png"/>
                    <pic:cNvPicPr/>
                  </pic:nvPicPr>
                  <pic:blipFill>
                    <a:blip r:embed="rId20"/>
                    <a:stretch>
                      <a:fillRect/>
                    </a:stretch>
                  </pic:blipFill>
                  <pic:spPr>
                    <a:xfrm>
                      <a:off x="0" y="0"/>
                      <a:ext cx="3240000" cy="2322000"/>
                    </a:xfrm>
                    <a:prstGeom prst="rect"/>
                  </pic:spPr>
                </pic:pic>
              </a:graphicData>
            </a:graphic>
          </wp:inline>
        </w:drawing>
      </w:r>
    </w:p>
    <w:p>
      <w:pPr>
        <w:pStyle w:val="Heading30"/>
      </w:pPr>
      <w:r>
        <w:t>Correlations</w:t>
      </w:r>
    </w:p>
    <w:p>
      <w:r>
        <w:drawing>
          <wp:inline xmlns:a="http://schemas.openxmlformats.org/drawingml/2006/main" xmlns:pic="http://schemas.openxmlformats.org/drawingml/2006/picture">
            <wp:extent cx="3240000" cy="2700000"/>
            <wp:docPr id="5" name="Picture 5"/>
            <wp:cNvGraphicFramePr>
              <a:graphicFrameLocks noChangeAspect="1"/>
            </wp:cNvGraphicFramePr>
            <a:graphic>
              <a:graphicData uri="http://schemas.openxmlformats.org/drawingml/2006/picture">
                <pic:pic>
                  <pic:nvPicPr>
                    <pic:cNvPr id="0" name="6_Sleeve_MonthlyCorrel.png"/>
                    <pic:cNvPicPr/>
                  </pic:nvPicPr>
                  <pic:blipFill>
                    <a:blip r:embed="rId21"/>
                    <a:stretch>
                      <a:fillRect/>
                    </a:stretch>
                  </pic:blipFill>
                  <pic:spPr>
                    <a:xfrm>
                      <a:off x="0" y="0"/>
                      <a:ext cx="3240000" cy="2700000"/>
                    </a:xfrm>
                    <a:prstGeom prst="rect"/>
                  </pic:spPr>
                </pic:pic>
              </a:graphicData>
            </a:graphic>
          </wp:inline>
        </w:drawing>
      </w:r>
    </w:p>
    <w:br w:type="column"/>
    <w:p>
      <w:pPr>
        <w:pStyle w:val="Heading30"/>
      </w:pPr>
      <w:r>
        <w:t>Historical Allocation Changes</w:t>
      </w:r>
    </w:p>
    <w:p>
      <w:r>
        <w:drawing>
          <wp:inline xmlns:a="http://schemas.openxmlformats.org/drawingml/2006/main" xmlns:pic="http://schemas.openxmlformats.org/drawingml/2006/picture">
            <wp:extent cx="3240000" cy="2880000"/>
            <wp:docPr id="6" name="Picture 6"/>
            <wp:cNvGraphicFramePr>
              <a:graphicFrameLocks noChangeAspect="1"/>
            </wp:cNvGraphicFramePr>
            <a:graphic>
              <a:graphicData uri="http://schemas.openxmlformats.org/drawingml/2006/picture">
                <pic:pic>
                  <pic:nvPicPr>
                    <pic:cNvPr id="0" name="3_Allocation_FloatHistory.png"/>
                    <pic:cNvPicPr/>
                  </pic:nvPicPr>
                  <pic:blipFill>
                    <a:blip r:embed="rId22"/>
                    <a:stretch>
                      <a:fillRect/>
                    </a:stretch>
                  </pic:blipFill>
                  <pic:spPr>
                    <a:xfrm>
                      <a:off x="0" y="0"/>
                      <a:ext cx="3240000" cy="2880000"/>
                    </a:xfrm>
                    <a:prstGeom prst="rect"/>
                  </pic:spPr>
                </pic:pic>
              </a:graphicData>
            </a:graphic>
          </wp:inline>
        </w:drawing>
      </w:r>
    </w:p>
    <w:p>
      <w:pPr>
        <w:pStyle w:val="Heading30"/>
      </w:pPr>
      <w:r>
        <w:t>Underlying Current Manager Performance</w:t>
      </w:r>
    </w:p>
    <w:tbl>
      <w:tblPr>
        <w:tblStyle w:val="AtchisonTable1"/>
        <w:tblW w:type="auto" w:w="0"/>
        <w:tblLook w:firstColumn="1" w:firstRow="1" w:lastColumn="0" w:lastRow="0" w:noHBand="0" w:noVBand="1" w:val="04A0"/>
      </w:tblPr>
      <w:tblGrid>
        <w:gridCol w:w="3685"/>
        <w:gridCol w:w="3685"/>
        <w:gridCol w:w="3685"/>
      </w:tblGrid>
      <w:tr>
        <w:tc>
          <w:tcPr>
            <w:tcW w:type="dxa" w:w="2268"/>
          </w:tcPr>
          <w:p>
            <w:r>
              <w:rPr>
                <w:b/>
              </w:rPr>
              <w:t>Strategy</w:t>
            </w:r>
          </w:p>
        </w:tc>
        <w:tc>
          <w:tcPr>
            <w:tcW w:type="dxa" w:w="1417"/>
          </w:tcPr>
          <w:p>
            <w:r>
              <w:rPr>
                <w:b/>
              </w:rPr>
              <w:t>1 Year</w:t>
            </w:r>
          </w:p>
        </w:tc>
        <w:tc>
          <w:tcPr>
            <w:tcW w:type="dxa" w:w="1417"/>
          </w:tcPr>
          <w:p>
            <w:r>
              <w:rPr>
                <w:b/>
              </w:rPr>
              <w:t>3 Years (p.a.)</w:t>
            </w:r>
          </w:p>
        </w:tc>
      </w:tr>
      <w:tr>
        <w:tc>
          <w:tcPr>
            <w:tcW w:type="dxa" w:w="2268"/>
          </w:tcPr>
          <w:p>
            <w:r>
              <w:t>iShares ASX 200</w:t>
            </w:r>
          </w:p>
        </w:tc>
        <w:tc>
          <w:tcPr>
            <w:tcW w:type="dxa" w:w="1417"/>
          </w:tcPr>
          <w:p>
            <w:r>
              <w:t>10.26</w:t>
            </w:r>
          </w:p>
        </w:tc>
        <w:tc>
          <w:tcPr>
            <w:tcW w:type="dxa" w:w="1417"/>
          </w:tcPr>
          <w:p>
            <w:r>
              <w:t>10.03</w:t>
            </w:r>
          </w:p>
        </w:tc>
      </w:tr>
      <w:tr>
        <w:tc>
          <w:tcPr>
            <w:tcW w:type="dxa" w:w="2268"/>
          </w:tcPr>
          <w:p>
            <w:r>
              <w:t>Merlon Concentrated AusEq</w:t>
            </w:r>
          </w:p>
        </w:tc>
        <w:tc>
          <w:tcPr>
            <w:tcW w:type="dxa" w:w="1417"/>
          </w:tcPr>
          <w:p>
            <w:r>
              <w:t>9.19</w:t>
            </w:r>
          </w:p>
        </w:tc>
        <w:tc>
          <w:tcPr>
            <w:tcW w:type="dxa" w:w="1417"/>
          </w:tcPr>
          <w:p>
            <w:r>
              <w:t>7.84</w:t>
            </w:r>
          </w:p>
        </w:tc>
      </w:tr>
      <w:tr>
        <w:tc>
          <w:tcPr>
            <w:tcW w:type="dxa" w:w="2268"/>
          </w:tcPr>
          <w:p>
            <w:r>
              <w:rPr>
                <w:b/>
              </w:rPr>
              <w:t>BM: Australian Shares</w:t>
            </w:r>
          </w:p>
        </w:tc>
        <w:tc>
          <w:tcPr>
            <w:tcW w:type="dxa" w:w="1417"/>
          </w:tcPr>
          <w:p>
            <w:r>
              <w:rPr>
                <w:b/>
              </w:rPr>
              <w:t>10.32</w:t>
            </w:r>
          </w:p>
        </w:tc>
        <w:tc>
          <w:tcPr>
            <w:tcW w:type="dxa" w:w="1417"/>
          </w:tcPr>
          <w:p>
            <w:r>
              <w:rPr>
                <w:b/>
              </w:rPr>
              <w:t>10.02</w:t>
            </w:r>
          </w:p>
        </w:tc>
      </w:tr>
      <w:tr>
        <w:tc>
          <w:tcPr>
            <w:tcW w:type="dxa" w:w="2268"/>
          </w:tcPr>
          <w:p>
            <w:r>
              <w:t>VG MSCI World</w:t>
            </w:r>
          </w:p>
        </w:tc>
        <w:tc>
          <w:tcPr>
            <w:tcW w:type="dxa" w:w="1417"/>
          </w:tcPr>
          <w:p>
            <w:r>
              <w:t>12.89</w:t>
            </w:r>
          </w:p>
        </w:tc>
        <w:tc>
          <w:tcPr>
            <w:tcW w:type="dxa" w:w="1417"/>
          </w:tcPr>
          <w:p>
            <w:r>
              <w:t>15.08</w:t>
            </w:r>
          </w:p>
        </w:tc>
      </w:tr>
      <w:tr>
        <w:tc>
          <w:tcPr>
            <w:tcW w:type="dxa" w:w="2268"/>
          </w:tcPr>
          <w:p>
            <w:r>
              <w:t xml:space="preserve">VG MSCI World Hedged </w:t>
            </w:r>
          </w:p>
        </w:tc>
        <w:tc>
          <w:tcPr>
            <w:tcW w:type="dxa" w:w="1417"/>
          </w:tcPr>
          <w:p>
            <w:r>
              <w:t>19.29</w:t>
            </w:r>
          </w:p>
        </w:tc>
        <w:tc>
          <w:tcPr>
            <w:tcW w:type="dxa" w:w="1417"/>
          </w:tcPr>
          <w:p>
            <w:r>
              <w:t>16.09</w:t>
            </w:r>
          </w:p>
        </w:tc>
      </w:tr>
      <w:tr>
        <w:tc>
          <w:tcPr>
            <w:tcW w:type="dxa" w:w="2268"/>
          </w:tcPr>
          <w:p>
            <w:r>
              <w:t xml:space="preserve">iShares Japan </w:t>
            </w:r>
          </w:p>
        </w:tc>
        <w:tc>
          <w:tcPr>
            <w:tcW w:type="dxa" w:w="1417"/>
          </w:tcPr>
          <w:p>
            <w:r>
              <w:t>16.42</w:t>
            </w:r>
          </w:p>
        </w:tc>
        <w:tc>
          <w:tcPr>
            <w:tcW w:type="dxa" w:w="1417"/>
          </w:tcPr>
          <w:p>
            <w:r>
              <w:t>11.81</w:t>
            </w:r>
          </w:p>
        </w:tc>
      </w:tr>
      <w:tr>
        <w:tc>
          <w:tcPr>
            <w:tcW w:type="dxa" w:w="2268"/>
          </w:tcPr>
          <w:p>
            <w:r>
              <w:t>Capital Group New H</w:t>
            </w:r>
          </w:p>
        </w:tc>
        <w:tc>
          <w:tcPr>
            <w:tcW w:type="dxa" w:w="1417"/>
          </w:tcPr>
          <w:p>
            <w:r>
              <w:t>15.48</w:t>
            </w:r>
          </w:p>
        </w:tc>
        <w:tc>
          <w:tcPr>
            <w:tcW w:type="dxa" w:w="1417"/>
          </w:tcPr>
          <w:p>
            <w:r>
              <w:t>13.43</w:t>
            </w:r>
          </w:p>
        </w:tc>
      </w:tr>
      <w:tr>
        <w:tc>
          <w:tcPr>
            <w:tcW w:type="dxa" w:w="2268"/>
          </w:tcPr>
          <w:p>
            <w:r>
              <w:t>Fidelity EM</w:t>
            </w:r>
          </w:p>
        </w:tc>
        <w:tc>
          <w:tcPr>
            <w:tcW w:type="dxa" w:w="1417"/>
          </w:tcPr>
          <w:p>
            <w:r>
              <w:t>16.37</w:t>
            </w:r>
          </w:p>
        </w:tc>
        <w:tc>
          <w:tcPr>
            <w:tcW w:type="dxa" w:w="1417"/>
          </w:tcPr>
          <w:p>
            <w:r>
              <w:t>8.31</w:t>
            </w:r>
          </w:p>
        </w:tc>
      </w:tr>
      <w:tr>
        <w:tc>
          <w:tcPr>
            <w:tcW w:type="dxa" w:w="2268"/>
          </w:tcPr>
          <w:p>
            <w:r>
              <w:t>CapGroup New Persp</w:t>
            </w:r>
          </w:p>
        </w:tc>
        <w:tc>
          <w:tcPr>
            <w:tcW w:type="dxa" w:w="1417"/>
          </w:tcPr>
          <w:p>
            <w:r>
              <w:t>11.93</w:t>
            </w:r>
          </w:p>
        </w:tc>
        <w:tc>
          <w:tcPr>
            <w:tcW w:type="dxa" w:w="1417"/>
          </w:tcPr>
          <w:p>
            <w:r>
              <w:t>13.5</w:t>
            </w:r>
          </w:p>
        </w:tc>
      </w:tr>
      <w:tr>
        <w:tc>
          <w:tcPr>
            <w:tcW w:type="dxa" w:w="2268"/>
          </w:tcPr>
          <w:p>
            <w:r>
              <w:t>VG Int Smalls</w:t>
            </w:r>
          </w:p>
        </w:tc>
        <w:tc>
          <w:tcPr>
            <w:tcW w:type="dxa" w:w="1417"/>
          </w:tcPr>
          <w:p>
            <w:r>
              <w:t>12.23</w:t>
            </w:r>
          </w:p>
        </w:tc>
        <w:tc>
          <w:tcPr>
            <w:tcW w:type="dxa" w:w="1417"/>
          </w:tcPr>
          <w:p>
            <w:r>
              <w:t>10.95</w:t>
            </w:r>
          </w:p>
        </w:tc>
      </w:tr>
      <w:tr>
        <w:tc>
          <w:tcPr>
            <w:tcW w:type="dxa" w:w="2268"/>
          </w:tcPr>
          <w:p>
            <w:r>
              <w:t>VE Global Quality Eq</w:t>
            </w:r>
          </w:p>
        </w:tc>
        <w:tc>
          <w:tcPr>
            <w:tcW w:type="dxa" w:w="1417"/>
          </w:tcPr>
          <w:p>
            <w:r>
              <w:t>8.12</w:t>
            </w:r>
          </w:p>
        </w:tc>
        <w:tc>
          <w:tcPr>
            <w:tcW w:type="dxa" w:w="1417"/>
          </w:tcPr>
          <w:p>
            <w:r>
              <w:t>13.5</w:t>
            </w:r>
          </w:p>
        </w:tc>
      </w:tr>
      <w:tr>
        <w:tc>
          <w:tcPr>
            <w:tcW w:type="dxa" w:w="2268"/>
          </w:tcPr>
          <w:p>
            <w:r>
              <w:t>VG Global Value Eq</w:t>
            </w:r>
          </w:p>
        </w:tc>
        <w:tc>
          <w:tcPr>
            <w:tcW w:type="dxa" w:w="1417"/>
          </w:tcPr>
          <w:p>
            <w:r>
              <w:t>18.08</w:t>
            </w:r>
          </w:p>
        </w:tc>
        <w:tc>
          <w:tcPr>
            <w:tcW w:type="dxa" w:w="1417"/>
          </w:tcPr>
          <w:p>
            <w:r>
              <w:t>13.01</w:t>
            </w:r>
          </w:p>
        </w:tc>
      </w:tr>
      <w:tr>
        <w:tc>
          <w:tcPr>
            <w:tcW w:type="dxa" w:w="2268"/>
          </w:tcPr>
          <w:p>
            <w:r>
              <w:rPr>
                <w:b/>
              </w:rPr>
              <w:t>BM: International Shares</w:t>
            </w:r>
          </w:p>
        </w:tc>
        <w:tc>
          <w:tcPr>
            <w:tcW w:type="dxa" w:w="1417"/>
          </w:tcPr>
          <w:p>
            <w:r>
              <w:rPr>
                <w:b/>
              </w:rPr>
              <w:t>14.29</w:t>
            </w:r>
          </w:p>
        </w:tc>
        <w:tc>
          <w:tcPr>
            <w:tcW w:type="dxa" w:w="1417"/>
          </w:tcPr>
          <w:p>
            <w:r>
              <w:rPr>
                <w:b/>
              </w:rPr>
              <w:t>14.57</w:t>
            </w:r>
          </w:p>
        </w:tc>
      </w:tr>
      <w:tr>
        <w:tc>
          <w:tcPr>
            <w:tcW w:type="dxa" w:w="2268"/>
          </w:tcPr>
          <w:p>
            <w:r>
              <w:t>VG AREIT</w:t>
            </w:r>
          </w:p>
        </w:tc>
        <w:tc>
          <w:tcPr>
            <w:tcW w:type="dxa" w:w="1417"/>
          </w:tcPr>
          <w:p>
            <w:r>
              <w:t>7.93</w:t>
            </w:r>
          </w:p>
        </w:tc>
        <w:tc>
          <w:tcPr>
            <w:tcW w:type="dxa" w:w="1417"/>
          </w:tcPr>
          <w:p>
            <w:r>
              <w:t>11.95</w:t>
            </w:r>
          </w:p>
        </w:tc>
      </w:tr>
      <w:tr>
        <w:tc>
          <w:tcPr>
            <w:tcW w:type="dxa" w:w="2268"/>
          </w:tcPr>
          <w:p>
            <w:r>
              <w:t>VanEck Glb Infra H</w:t>
            </w:r>
          </w:p>
        </w:tc>
        <w:tc>
          <w:tcPr>
            <w:tcW w:type="dxa" w:w="1417"/>
          </w:tcPr>
          <w:p>
            <w:r>
              <w:t>11.92</w:t>
            </w:r>
          </w:p>
        </w:tc>
        <w:tc>
          <w:tcPr>
            <w:tcW w:type="dxa" w:w="1417"/>
          </w:tcPr>
          <w:p>
            <w:r>
              <w:t>9.41</w:t>
            </w:r>
          </w:p>
        </w:tc>
      </w:tr>
      <w:tr>
        <w:tc>
          <w:tcPr>
            <w:tcW w:type="dxa" w:w="2268"/>
          </w:tcPr>
          <w:p>
            <w:r>
              <w:t>RARE Infra Income</w:t>
            </w:r>
          </w:p>
        </w:tc>
        <w:tc>
          <w:tcPr>
            <w:tcW w:type="dxa" w:w="1417"/>
          </w:tcPr>
          <w:p>
            <w:r>
              <w:t>17.09</w:t>
            </w:r>
          </w:p>
        </w:tc>
        <w:tc>
          <w:tcPr>
            <w:tcW w:type="dxa" w:w="1417"/>
          </w:tcPr>
          <w:p>
            <w:r>
              <w:t>10.36</w:t>
            </w:r>
          </w:p>
        </w:tc>
      </w:tr>
      <w:tr>
        <w:tc>
          <w:tcPr>
            <w:tcW w:type="dxa" w:w="2268"/>
          </w:tcPr>
          <w:p>
            <w:r>
              <w:t>Euree AREIT</w:t>
            </w:r>
          </w:p>
        </w:tc>
        <w:tc>
          <w:tcPr>
            <w:tcW w:type="dxa" w:w="1417"/>
          </w:tcPr>
          <w:p>
            <w:r>
              <w:t>9.27</w:t>
            </w:r>
          </w:p>
        </w:tc>
        <w:tc>
          <w:tcPr>
            <w:tcW w:type="dxa" w:w="1417"/>
          </w:tcPr>
          <w:p>
            <w:r>
              <w:t>10.76</w:t>
            </w:r>
          </w:p>
        </w:tc>
      </w:tr>
      <w:tr>
        <w:tc>
          <w:tcPr>
            <w:tcW w:type="dxa" w:w="2268"/>
          </w:tcPr>
          <w:p>
            <w:r>
              <w:rPr>
                <w:b/>
              </w:rPr>
              <w:t>BM: Real Assets</w:t>
            </w:r>
          </w:p>
        </w:tc>
        <w:tc>
          <w:tcPr>
            <w:tcW w:type="dxa" w:w="1417"/>
          </w:tcPr>
          <w:p>
            <w:r>
              <w:rPr>
                <w:b/>
              </w:rPr>
              <w:t>7.02</w:t>
            </w:r>
          </w:p>
        </w:tc>
        <w:tc>
          <w:tcPr>
            <w:tcW w:type="dxa" w:w="1417"/>
          </w:tcPr>
          <w:p>
            <w:r>
              <w:rPr>
                <w:b/>
              </w:rPr>
              <w:t>7.34</w:t>
            </w:r>
          </w:p>
        </w:tc>
      </w:tr>
      <w:tr>
        <w:tc>
          <w:tcPr>
            <w:tcW w:type="dxa" w:w="2268"/>
          </w:tcPr>
          <w:p>
            <w:r>
              <w:t>ETFS Physical Gold</w:t>
            </w:r>
          </w:p>
        </w:tc>
        <w:tc>
          <w:tcPr>
            <w:tcW w:type="dxa" w:w="1417"/>
          </w:tcPr>
          <w:p>
            <w:r>
              <w:t>54.32</w:t>
            </w:r>
          </w:p>
        </w:tc>
        <w:tc>
          <w:tcPr>
            <w:tcW w:type="dxa" w:w="1417"/>
          </w:tcPr>
          <w:p>
            <w:r>
              <w:t>29.67</w:t>
            </w:r>
          </w:p>
        </w:tc>
      </w:tr>
      <w:tr>
        <w:tc>
          <w:tcPr>
            <w:tcW w:type="dxa" w:w="2268"/>
          </w:tcPr>
          <w:p>
            <w:r>
              <w:t>Janus Gbl Multi Strat</w:t>
            </w:r>
          </w:p>
        </w:tc>
        <w:tc>
          <w:tcPr>
            <w:tcW w:type="dxa" w:w="1417"/>
          </w:tcPr>
          <w:p>
            <w:r>
              <w:t>7.56</w:t>
            </w:r>
          </w:p>
        </w:tc>
        <w:tc>
          <w:tcPr>
            <w:tcW w:type="dxa" w:w="1417"/>
          </w:tcPr>
          <w:p>
            <w:r>
              <w:t>3.33</w:t>
            </w:r>
          </w:p>
        </w:tc>
      </w:tr>
      <w:tr>
        <w:tc>
          <w:tcPr>
            <w:tcW w:type="dxa" w:w="2268"/>
          </w:tcPr>
          <w:p>
            <w:r>
              <w:t>Qualitas Prop Inc</w:t>
            </w:r>
          </w:p>
        </w:tc>
        <w:tc>
          <w:tcPr>
            <w:tcW w:type="dxa" w:w="1417"/>
          </w:tcPr>
          <w:p>
            <w:r>
              <w:t>2.87</w:t>
            </w:r>
          </w:p>
        </w:tc>
        <w:tc>
          <w:tcPr>
            <w:tcW w:type="dxa" w:w="1417"/>
          </w:tcPr>
          <w:p>
            <w:r>
              <w:t>7.89</w:t>
            </w:r>
          </w:p>
        </w:tc>
      </w:tr>
      <w:tr>
        <w:tc>
          <w:tcPr>
            <w:tcW w:type="dxa" w:w="2268"/>
          </w:tcPr>
          <w:p>
            <w:r>
              <w:rPr>
                <w:b/>
              </w:rPr>
              <w:t>BM: Alternatives</w:t>
            </w:r>
          </w:p>
        </w:tc>
        <w:tc>
          <w:tcPr>
            <w:tcW w:type="dxa" w:w="1417"/>
          </w:tcPr>
          <w:p>
            <w:r>
              <w:rPr>
                <w:b/>
              </w:rPr>
              <w:t>4.06</w:t>
            </w:r>
          </w:p>
        </w:tc>
        <w:tc>
          <w:tcPr>
            <w:tcW w:type="dxa" w:w="1417"/>
          </w:tcPr>
          <w:p>
            <w:r>
              <w:rPr>
                <w:b/>
              </w:rPr>
              <w:t>3.39</w:t>
            </w:r>
          </w:p>
        </w:tc>
      </w:tr>
      <w:tr>
        <w:tc>
          <w:tcPr>
            <w:tcW w:type="dxa" w:w="2268"/>
          </w:tcPr>
          <w:p>
            <w:r>
              <w:t>iShares Aus Bond</w:t>
            </w:r>
          </w:p>
        </w:tc>
        <w:tc>
          <w:tcPr>
            <w:tcW w:type="dxa" w:w="1417"/>
          </w:tcPr>
          <w:p>
            <w:r>
              <w:t>2.97</w:t>
            </w:r>
          </w:p>
        </w:tc>
        <w:tc>
          <w:tcPr>
            <w:tcW w:type="dxa" w:w="1417"/>
          </w:tcPr>
          <w:p>
            <w:r>
              <w:t>3.03</w:t>
            </w:r>
          </w:p>
        </w:tc>
      </w:tr>
      <w:tr>
        <w:tc>
          <w:tcPr>
            <w:tcW w:type="dxa" w:w="2268"/>
          </w:tcPr>
          <w:p>
            <w:r>
              <w:t>VG Global Agg</w:t>
            </w:r>
          </w:p>
        </w:tc>
        <w:tc>
          <w:tcPr>
            <w:tcW w:type="dxa" w:w="1417"/>
          </w:tcPr>
          <w:p>
            <w:r>
              <w:t>4.33</w:t>
            </w:r>
          </w:p>
        </w:tc>
        <w:tc>
          <w:tcPr>
            <w:tcW w:type="dxa" w:w="1417"/>
          </w:tcPr>
          <w:p>
            <w:r>
              <w:t>3.63</w:t>
            </w:r>
          </w:p>
        </w:tc>
      </w:tr>
      <w:tr>
        <w:tc>
          <w:tcPr>
            <w:tcW w:type="dxa" w:w="2268"/>
          </w:tcPr>
          <w:p>
            <w:r>
              <w:t>iShares Global Bond</w:t>
            </w:r>
          </w:p>
        </w:tc>
        <w:tc>
          <w:tcPr>
            <w:tcW w:type="dxa" w:w="1417"/>
          </w:tcPr>
          <w:p>
            <w:r>
              <w:t>2.61</w:t>
            </w:r>
          </w:p>
        </w:tc>
        <w:tc>
          <w:tcPr>
            <w:tcW w:type="dxa" w:w="1417"/>
          </w:tcPr>
          <w:p>
            <w:r>
              <w:t>3.13</w:t>
            </w:r>
          </w:p>
        </w:tc>
      </w:tr>
      <w:tr>
        <w:tc>
          <w:tcPr>
            <w:tcW w:type="dxa" w:w="2268"/>
          </w:tcPr>
          <w:p>
            <w:r>
              <w:t>iShares Aus Bond</w:t>
            </w:r>
          </w:p>
        </w:tc>
        <w:tc>
          <w:tcPr>
            <w:tcW w:type="dxa" w:w="1417"/>
          </w:tcPr>
          <w:p>
            <w:r>
              <w:t>0.93</w:t>
            </w:r>
          </w:p>
        </w:tc>
        <w:tc>
          <w:tcPr>
            <w:tcW w:type="dxa" w:w="1417"/>
          </w:tcPr>
          <w:p>
            <w:r>
              <w:t>2.39</w:t>
            </w:r>
          </w:p>
        </w:tc>
      </w:tr>
      <w:tr>
        <w:tc>
          <w:tcPr>
            <w:tcW w:type="dxa" w:w="2268"/>
          </w:tcPr>
          <w:p>
            <w:r>
              <w:rPr>
                <w:b/>
              </w:rPr>
              <w:t>BM: Duration</w:t>
            </w:r>
          </w:p>
        </w:tc>
        <w:tc>
          <w:tcPr>
            <w:tcW w:type="dxa" w:w="1417"/>
          </w:tcPr>
          <w:p>
            <w:r>
              <w:rPr>
                <w:b/>
              </w:rPr>
              <w:t>3.65</w:t>
            </w:r>
          </w:p>
        </w:tc>
        <w:tc>
          <w:tcPr>
            <w:tcW w:type="dxa" w:w="1417"/>
          </w:tcPr>
          <w:p>
            <w:r>
              <w:rPr>
                <w:b/>
              </w:rPr>
              <w:t>3.4</w:t>
            </w:r>
          </w:p>
        </w:tc>
      </w:tr>
      <w:tr>
        <w:tc>
          <w:tcPr>
            <w:tcW w:type="dxa" w:w="2268"/>
          </w:tcPr>
          <w:p>
            <w:r>
              <w:t>Janus Tactical Inc</w:t>
            </w:r>
          </w:p>
        </w:tc>
        <w:tc>
          <w:tcPr>
            <w:tcW w:type="dxa" w:w="1417"/>
          </w:tcPr>
          <w:p>
            <w:r>
              <w:t>5.63</w:t>
            </w:r>
          </w:p>
        </w:tc>
        <w:tc>
          <w:tcPr>
            <w:tcW w:type="dxa" w:w="1417"/>
          </w:tcPr>
          <w:p>
            <w:r>
              <w:t>4.58</w:t>
            </w:r>
          </w:p>
        </w:tc>
      </w:tr>
      <w:tr>
        <w:tc>
          <w:tcPr>
            <w:tcW w:type="dxa" w:w="2268"/>
          </w:tcPr>
          <w:p>
            <w:r>
              <w:rPr>
                <w:b/>
              </w:rPr>
              <w:t>BM: Floating</w:t>
            </w:r>
          </w:p>
        </w:tc>
        <w:tc>
          <w:tcPr>
            <w:tcW w:type="dxa" w:w="1417"/>
          </w:tcPr>
          <w:p>
            <w:r>
              <w:rPr>
                <w:b/>
              </w:rPr>
              <w:t>4.77</w:t>
            </w:r>
          </w:p>
        </w:tc>
        <w:tc>
          <w:tcPr>
            <w:tcW w:type="dxa" w:w="1417"/>
          </w:tcPr>
          <w:p>
            <w:r>
              <w:rPr>
                <w:b/>
              </w:rPr>
              <w:t>3.97</w:t>
            </w:r>
          </w:p>
        </w:tc>
      </w:tr>
      <w:tr>
        <w:tc>
          <w:tcPr>
            <w:tcW w:type="dxa" w:w="2268"/>
          </w:tcPr>
          <w:p>
            <w:r>
              <w:t>iShares Cash</w:t>
            </w:r>
          </w:p>
        </w:tc>
        <w:tc>
          <w:tcPr>
            <w:tcW w:type="dxa" w:w="1417"/>
          </w:tcPr>
          <w:p>
            <w:r>
              <w:t>4.07</w:t>
            </w:r>
          </w:p>
        </w:tc>
        <w:tc>
          <w:tcPr>
            <w:tcW w:type="dxa" w:w="1417"/>
          </w:tcPr>
          <w:p>
            <w:r>
              <w:t>3.38</w:t>
            </w:r>
          </w:p>
        </w:tc>
      </w:tr>
    </w:tbl>
    <w:p>
      <w:pPr>
        <w:pStyle w:val="Note"/>
      </w:pPr>
      <w:r>
        <w:t>Inception Date: 22 August 2023</w:t>
      </w:r>
    </w:p>
    <w:p>
      <w:pPr>
        <w:pStyle w:val="BodyStyle"/>
      </w:pPr>
      <w:r>
        <w:t>Underlying investment manager returns are shown after fees and before tax</w:t>
      </w:r>
    </w:p>
    <w:br w:type="column"/>
    <w:p>
      <w:pPr>
        <w:pStyle w:val="Heading20"/>
      </w:pPr>
      <w:r>
        <w:t>Market Update</w:t>
      </w:r>
    </w:p>
    <w:p>
      <w:pPr>
        <w:pStyle w:val="BodyStyle"/>
      </w:pPr>
      <w:r>
        <w:t>The S&amp;P/ASX 200 generated a total return of 10% over the year, extending its run to three consecutive years of double-digit performance. Market leadership came from smaller capitalisation stocks, with the Small Ordinaries Index climbing 25% and the Emerging Companies Index surging 39%.</w:t>
        <w:br/>
        <w:br/>
        <w:t>Sector outcomes across the Australian market were uneven despite broad participation. Nine of the eleven S&amp;P/ASX 200 sectors finished higher, led by a 35% rally in Materials. In contrast, Health Care endured a sharp 24% decline, and Information Technology reversed last year’s strength, falling 21%.</w:t>
        <w:br/>
        <w:br/>
        <w:t>The largest detractors over the year included CSL, WiseTech Global, and Xero.</w:t>
        <w:br/>
        <w:br/>
        <w:t>China’s CSI 300 rose 21% over the year, supported by policy easing, state-backed buying, and strength in financials, consumer staples, and industrials, despite ongoing property and growth challenges.</w:t>
        <w:br/>
        <w:br/>
        <w:t>The S&amp;P 500 delivered 18% for the year, the technology-heavy Nasdaq delivered 21% for the year. US aerospace and defence names were the biggest winners, along with unloved semiconductor companies including Intel and Micron Technology.</w:t>
        <w:br/>
        <w:br/>
        <w:t>Sector performance across the large-cap universe was uniformly positive. Communication Services were up 34%, followed by Information Technology, which rose 24% over the year.</w:t>
        <w:br/>
        <w:br/>
        <w:t>Expectations of Federal Reserve rate cuts also helped extend market gains beyond mega-caps, supporting improved performance across mid- and small-capitalisation stocks.</w:t>
        <w:br/>
        <w:br/>
        <w:t>Several European markets performed strongly over the past 12 months, including Spain, up 50%, Italy, up 33%, and Germany, up 23%. Performance was supported by strength in European banks, while Germany benefited primarily from aerospace and defence stocks.</w:t>
        <w:br/>
        <w:br/>
        <w:t>Economists expect persistent inflation to force the RBA into multiple rate hikes this year, potentially starting as early as February, amid resilient demand, tight labour markets, and rising housing costs.</w:t>
        <w:br/>
        <w:br/>
        <w:t>In the US, markets anticipate further rate cuts in 2026, bringing rates down from their current range of 3.5%–3.75%, towards 3%.</w:t>
        <w:br/>
        <w:br/>
        <w:t>Commodity performance was mixed. Gold rose 64% over the year, while silver outperformed with gains of 145%. In contrast, crude oil and Brent prices continued to struggle, declining around 20%.</w:t>
        <w:br/>
        <w:br/>
      </w:r>
    </w:p>
    <w:p>
      <w:pPr>
        <w:pStyle w:val="Heading20"/>
      </w:pPr>
      <w:r>
        <w:t>Fine Print</w:t>
      </w:r>
    </w:p>
    <w:p>
      <w:pPr>
        <w:pStyle w:val="Note"/>
      </w:pPr>
      <w:r>
        <w:t>Important Notice: This document is published by TAG Asset Consulting Group Pty Ltd, trading as Atchison Consultants, ABN 58 097 703 047, AFSL 230 846. Atchison Consultants distributes its investment solutions via platform and dealer groups (financial advisory groups).</w:t>
      </w:r>
    </w:p>
    <w:p>
      <w:pPr>
        <w:pStyle w:val="Note"/>
      </w:pPr>
    </w:p>
    <w:p>
      <w:pPr>
        <w:pStyle w:val="Note"/>
      </w:pPr>
      <w:r>
        <w:t>Warning: Please be advised that past performance is not indicative of future performance. The returns discussed herein are based on model asset allocations and are for illustrative purposes only. Actual returns may differ due to variations in fees, timing of model change implementation, and the need to substitute individual holdings where reliable data was not available from our data providers. Any insights or recommendations provided in this document are intended for general advice purposes only and are based on our opinion of the investment merits of the financial products discussed, independent of the financial circumstances of any individual. Before proceeding with any investment based on the information provided, recipients must assess its suitability to their financial situation and consider seeking advice from an independent financial advisor.</w:t>
      </w:r>
    </w:p>
    <w:p>
      <w:pPr>
        <w:pStyle w:val="Note"/>
      </w:pPr>
    </w:p>
    <w:p>
      <w:pPr>
        <w:pStyle w:val="Note"/>
      </w:pPr>
      <w:r>
        <w:t>Disclaimer: While care is taken to ensure the accuracy and completeness of the information presented herein, no warranties or representations are made as to its reliability. The content provided is derived from publicly available sources, or external data providers, which have not been independently verified by Atchison Consultants. Atchison Consultants, along with its directors, officers, employees, and agents, expressly disclaims any liability for errors, inaccuracies, or omissions in this document, as well as for any loss or damage that may arise from reliance on its contents. Readers are cautioned to verify all information independently before taking any actions based on this report.</w:t>
      </w:r>
    </w:p>
    <w:sectPr w:rsidR="005E14BC" w:rsidRPr="001C33C8" w:rsidSect="002133B0">
      <w:type w:val="continuous"/>
      <w:pgSz w:w="11900" w:h="16840" w:code="9"/>
      <w:pgMar w:top="0" w:right="420" w:bottom="0" w:left="425" w:header="0" w:footer="451" w:gutter="0"/>
      <w:docGrid w:linePitch="360"/>
      <w:cols w:num="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D1E980" w14:textId="77777777" w:rsidR="00EC1404" w:rsidRDefault="00EC1404" w:rsidP="007B4373">
      <w:r>
        <w:separator/>
      </w:r>
    </w:p>
  </w:endnote>
  <w:endnote w:type="continuationSeparator" w:id="0">
    <w:p w14:paraId="7A7F6BBD" w14:textId="77777777" w:rsidR="00EC1404" w:rsidRDefault="00EC1404" w:rsidP="007B43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default"/>
  </w:font>
  <w:font w:name="Times New Roman (Headings CS)">
    <w:altName w:val="Calibri"/>
    <w:charset w:val="00"/>
    <w:family w:val="roman"/>
    <w:pitch w:val="default"/>
  </w:font>
  <w:font w:name="Minion Pro">
    <w:altName w:val="Cambria"/>
    <w:panose1 w:val="00000000000000000000"/>
    <w:charset w:val="00"/>
    <w:family w:val="roman"/>
    <w:notTrueType/>
    <w:pitch w:val="variable"/>
    <w:sig w:usb0="60000287" w:usb1="00000001" w:usb2="00000000" w:usb3="00000000" w:csb0="0000019F"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F5D51" w14:textId="25F327CF" w:rsidR="0057386D" w:rsidRDefault="002133B0" w:rsidP="002F4B28">
    <w:pPr>
      <w:pStyle w:val="Footer"/>
      <w:tabs>
        <w:tab w:val="clear" w:pos="4513"/>
        <w:tab w:val="clear" w:pos="9026"/>
      </w:tabs>
    </w:pPr>
    <w:r>
      <w:rPr>
        <w:noProof/>
      </w:rPr>
      <mc:AlternateContent>
        <mc:Choice Requires="wps">
          <w:drawing>
            <wp:anchor distT="0" distB="0" distL="114300" distR="114300" simplePos="0" relativeHeight="251658241" behindDoc="0" locked="0" layoutInCell="1" allowOverlap="1" wp14:anchorId="2E8614D7" wp14:editId="15467433">
              <wp:simplePos x="0" y="0"/>
              <wp:positionH relativeFrom="column">
                <wp:posOffset>6587490</wp:posOffset>
              </wp:positionH>
              <wp:positionV relativeFrom="page">
                <wp:posOffset>10267950</wp:posOffset>
              </wp:positionV>
              <wp:extent cx="190500" cy="248285"/>
              <wp:effectExtent l="0" t="0" r="0"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190500" cy="248285"/>
                      </a:xfrm>
                      <a:prstGeom prst="rect">
                        <a:avLst/>
                      </a:prstGeom>
                      <a:noFill/>
                      <a:ln w="6350">
                        <a:noFill/>
                      </a:ln>
                    </wps:spPr>
                    <wps:txbx>
                      <w:txbxContent>
                        <w:p w14:paraId="0FEDE27F" w14:textId="1F7951EA" w:rsidR="001D6606" w:rsidRPr="00FD10ED" w:rsidRDefault="001D6606"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8614D7" id="_x0000_t202" coordsize="21600,21600" o:spt="202" path="m,l,21600r21600,l21600,xe">
              <v:stroke joinstyle="miter"/>
              <v:path gradientshapeok="t" o:connecttype="rect"/>
            </v:shapetype>
            <v:shape id="Text Box 11" o:spid="_x0000_s1026" type="#_x0000_t202" style="position:absolute;margin-left:518.7pt;margin-top:808.5pt;width:15pt;height:19.55pt;flip:x;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" filled="f" stroked="f" strokeweight=".5pt">
              <v:textbox inset="0,0,0,0">
                <w:txbxContent>
                  <w:p w14:paraId="0FEDE27F" w14:textId="1F7951EA" w:rsidR="001D6606" w:rsidRPr="00FD10ED" w:rsidRDefault="001D6606"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v:textbox>
              <w10:wrap anchory="page"/>
            </v:shape>
          </w:pict>
        </mc:Fallback>
      </mc:AlternateContent>
    </w:r>
    <w:r w:rsidR="00DF12F7">
      <w:rPr>
        <w:noProof/>
      </w:rPr>
      <mc:AlternateContent>
        <mc:Choice Requires="wps">
          <w:drawing>
            <wp:anchor distT="4294967286" distB="4294967286" distL="114300" distR="114300" simplePos="0" relativeHeight="251658240" behindDoc="0" locked="0" layoutInCell="1" allowOverlap="1" wp14:anchorId="51235B58" wp14:editId="7C4AFA86">
              <wp:simplePos x="0" y="0"/>
              <wp:positionH relativeFrom="margin">
                <wp:posOffset>0</wp:posOffset>
              </wp:positionH>
              <wp:positionV relativeFrom="page">
                <wp:posOffset>10257790</wp:posOffset>
              </wp:positionV>
              <wp:extent cx="6934200" cy="0"/>
              <wp:effectExtent l="0" t="0" r="0" b="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934200" cy="0"/>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645FE9D8" id="Straight Connector 9" o:spid="_x0000_s1026" style="position:absolute;flip:y;z-index:251658240;visibility:visible;mso-wrap-style:square;mso-width-percent:0;mso-height-percent:0;mso-wrap-distance-left:9pt;mso-wrap-distance-top:-28e-5mm;mso-wrap-distance-right:9pt;mso-wrap-distance-bottom:-28e-5mm;mso-position-horizontal:absolute;mso-position-horizontal-relative:margin;mso-position-vertical:absolute;mso-position-vertical-relative:page;mso-width-percent:0;mso-height-percent:0;mso-width-relative:page;mso-height-relative:page" from="0,807.7pt" to="546pt,80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" strokecolor="#3d545e" strokeweight=".5pt">
              <v:stroke joinstyle="miter"/>
              <o:lock v:ext="edit" shapetype="f"/>
              <w10:wrap anchorx="margin" anchory="page"/>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810C9" w14:textId="2B309A7B" w:rsidR="005F6BD8" w:rsidRDefault="002976D3" w:rsidP="00E916A2">
    <w:pPr>
      <w:pStyle w:val="Footer"/>
      <w:tabs>
        <w:tab w:val="clear" w:pos="9026"/>
      </w:tabs>
    </w:pPr>
    <w:r>
      <w:rPr>
        <w:noProof/>
      </w:rPr>
      <mc:AlternateContent>
        <mc:Choice Requires="wps">
          <w:drawing>
            <wp:anchor distT="4294967286" distB="4294967286" distL="114300" distR="114300" simplePos="0" relativeHeight="251658242" behindDoc="0" locked="0" layoutInCell="1" allowOverlap="1" wp14:anchorId="4DF33864" wp14:editId="627120AF">
              <wp:simplePos x="0" y="0"/>
              <wp:positionH relativeFrom="margin">
                <wp:posOffset>0</wp:posOffset>
              </wp:positionH>
              <wp:positionV relativeFrom="page">
                <wp:posOffset>10095865</wp:posOffset>
              </wp:positionV>
              <wp:extent cx="6800850" cy="9525"/>
              <wp:effectExtent l="0" t="0" r="19050" b="28575"/>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800850" cy="9525"/>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7B234CCC" id="Straight Connector 4" o:spid="_x0000_s1026" style="position:absolute;z-index:251719168;visibility:visible;mso-wrap-style:square;mso-width-percent:0;mso-height-percent:0;mso-wrap-distance-left:9pt;mso-wrap-distance-top:-28e-5mm;mso-wrap-distance-right:9pt;mso-wrap-distance-bottom:-28e-5mm;mso-position-horizontal:absolute;mso-position-horizontal-relative:margin;mso-position-vertical:absolute;mso-position-vertical-relative:page;mso-width-percent:0;mso-height-percent:0;mso-width-relative:page;mso-height-relative:page" from="0,794.95pt" to="535.5pt,79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" strokecolor="#3d545e" strokeweight=".5pt">
              <v:stroke joinstyle="miter"/>
              <o:lock v:ext="edit" shapetype="f"/>
              <w10:wrap anchorx="margin" anchory="page"/>
            </v:line>
          </w:pict>
        </mc:Fallback>
      </mc:AlternateContent>
    </w:r>
    <w:r>
      <w:rPr>
        <w:noProof/>
      </w:rPr>
      <mc:AlternateContent>
        <mc:Choice Requires="wps">
          <w:drawing>
            <wp:anchor distT="0" distB="0" distL="114300" distR="114300" simplePos="0" relativeHeight="251658243" behindDoc="0" locked="0" layoutInCell="1" allowOverlap="1" wp14:anchorId="49980B01" wp14:editId="02A3271F">
              <wp:simplePos x="0" y="0"/>
              <wp:positionH relativeFrom="column">
                <wp:posOffset>5968365</wp:posOffset>
              </wp:positionH>
              <wp:positionV relativeFrom="page">
                <wp:posOffset>10187305</wp:posOffset>
              </wp:positionV>
              <wp:extent cx="788670" cy="248285"/>
              <wp:effectExtent l="0" t="0" r="1143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788670" cy="248285"/>
                      </a:xfrm>
                      <a:prstGeom prst="rect">
                        <a:avLst/>
                      </a:prstGeom>
                      <a:noFill/>
                      <a:ln w="6350">
                        <a:noFill/>
                      </a:ln>
                    </wps:spPr>
                    <wps:txbx>
                      <w:txbxContent>
                        <w:p w14:paraId="0B8E0280" w14:textId="77777777" w:rsidR="005F6BD8" w:rsidRPr="00FD10ED" w:rsidRDefault="005F6BD8"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9980B01" id="_x0000_t202" coordsize="21600,21600" o:spt="202" path="m,l,21600r21600,l21600,xe">
              <v:stroke joinstyle="miter"/>
              <v:path gradientshapeok="t" o:connecttype="rect"/>
            </v:shapetype>
            <v:shape id="Text Box 8" o:spid="_x0000_s1027" type="#_x0000_t202" style="position:absolute;margin-left:469.95pt;margin-top:802.15pt;width:62.1pt;height:19.55pt;flip:x;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" filled="f" stroked="f" strokeweight=".5pt">
              <v:textbox inset="0,0,0,0">
                <w:txbxContent>
                  <w:p w14:paraId="0B8E0280" w14:textId="77777777" w:rsidR="005F6BD8" w:rsidRPr="00FD10ED" w:rsidRDefault="005F6BD8"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v:textbox>
              <w10:wrap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EB1CE2" w14:textId="77777777" w:rsidR="00EC1404" w:rsidRDefault="00EC1404" w:rsidP="007B4373">
      <w:r>
        <w:separator/>
      </w:r>
    </w:p>
  </w:footnote>
  <w:footnote w:type="continuationSeparator" w:id="0">
    <w:p w14:paraId="0EF1D93D" w14:textId="77777777" w:rsidR="00EC1404" w:rsidRDefault="00EC1404" w:rsidP="007B43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7603A" w14:textId="77777777" w:rsidR="005B64E3" w:rsidRDefault="005B64E3">
    <w:pPr>
      <w:rPr>
        <w:sz w:val="36"/>
        <w:szCs w:val="32"/>
      </w:rPr>
    </w:pPr>
  </w:p>
  <w:p w14:paraId="1A2E350C" w14:textId="724ED1AC" w:rsidR="001C33C8" w:rsidRDefault="00844973">
    <w:r w:rsidRPr="005A6718">
      <w:rPr>
        <w:b/>
        <w:bCs/>
        <w:noProof/>
      </w:rPr>
      <w:drawing>
        <wp:anchor distT="0" distB="288290" distL="0" distR="0" simplePos="0" relativeHeight="251658245" behindDoc="1" locked="0" layoutInCell="1" allowOverlap="1" wp14:anchorId="46544061" wp14:editId="2A81C8E8">
          <wp:simplePos x="0" y="0"/>
          <wp:positionH relativeFrom="page">
            <wp:posOffset>0</wp:posOffset>
          </wp:positionH>
          <wp:positionV relativeFrom="page">
            <wp:posOffset>-76200</wp:posOffset>
          </wp:positionV>
          <wp:extent cx="7559675" cy="1702435"/>
          <wp:effectExtent l="0" t="0" r="3175" b="0"/>
          <wp:wrapNone/>
          <wp:docPr id="622286760" name="Picture 10" descr="A screenshot of a video gam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descr="A screenshot of a video game&#10;&#10;Description automatically generated"/>
                  <pic:cNvPicPr>
                    <a:picLocks/>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559675" cy="17024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0BB94FC" w14:textId="77777777" w:rsidR="001C33C8" w:rsidRDefault="001C33C8"/>
  <w:p w14:paraId="4DCA8871" w14:textId="77777777" w:rsidR="001C33C8" w:rsidRDefault="001C33C8"/>
  <w:p w14:paraId="7664C6BC" w14:textId="77777777" w:rsidR="001C33C8" w:rsidRDefault="001C33C8"/>
  <w:p w14:paraId="28C28B14" w14:textId="77777777" w:rsidR="001C33C8" w:rsidRDefault="001C33C8"/>
  <w:p w14:paraId="1F390310" w14:textId="77777777" w:rsidR="001C33C8" w:rsidRDefault="001C33C8"/>
  <w:p w14:paraId="06CE26D7" w14:textId="77777777" w:rsidR="001C33C8" w:rsidRDefault="001C33C8"/>
  <w:p w14:paraId="0ACFE8D4" w14:textId="77777777" w:rsidR="001C33C8" w:rsidRPr="00C70EBB" w:rsidRDefault="001C33C8">
    <w:pPr>
      <w:rPr>
        <w:sz w:val="28"/>
        <w:szCs w:val="28"/>
      </w:rPr>
    </w:pPr>
  </w:p>
  <w:p w14:paraId="2DC183F1" w14:textId="77777777" w:rsidR="001C33C8" w:rsidRDefault="001C33C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DC8A3" w14:textId="5A16BAAD" w:rsidR="00E916A2" w:rsidRDefault="00E916A2">
    <w:pPr>
      <w:pStyle w:val="Header"/>
    </w:pPr>
    <w:r w:rsidRPr="005A6718">
      <w:rPr>
        <w:b/>
        <w:bCs/>
        <w:noProof/>
      </w:rPr>
      <w:drawing>
        <wp:anchor distT="0" distB="288290" distL="0" distR="0" simplePos="0" relativeHeight="251658244" behindDoc="1" locked="0" layoutInCell="1" allowOverlap="1" wp14:anchorId="35047829" wp14:editId="02859780">
          <wp:simplePos x="0" y="0"/>
          <wp:positionH relativeFrom="page">
            <wp:align>left</wp:align>
          </wp:positionH>
          <wp:positionV relativeFrom="page">
            <wp:posOffset>-104775</wp:posOffset>
          </wp:positionV>
          <wp:extent cx="7560000" cy="1702800"/>
          <wp:effectExtent l="0" t="0" r="3175" b="0"/>
          <wp:wrapNone/>
          <wp:docPr id="150677889" name="Picture 10" descr="A screenshot of a video gam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descr="A screenshot of a video game&#10;&#10;Description automatically generated"/>
                  <pic:cNvPicPr>
                    <a:picLocks/>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560000" cy="17028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6A72235A"/>
    <w:lvl w:ilvl="0">
      <w:start w:val="1"/>
      <w:numFmt w:val="decimal"/>
      <w:lvlText w:val="%1."/>
      <w:lvlJc w:val="left"/>
      <w:pPr>
        <w:tabs>
          <w:tab w:val="num" w:pos="643"/>
        </w:tabs>
        <w:ind w:left="643" w:hanging="360"/>
      </w:pPr>
    </w:lvl>
  </w:abstractNum>
  <w:abstractNum w:abstractNumId="1" w15:restartNumberingAfterBreak="0">
    <w:nsid w:val="FFFFFF88"/>
    <w:multiLevelType w:val="singleLevel"/>
    <w:tmpl w:val="79FAF890"/>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24B24AFC"/>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1BE05D8"/>
    <w:multiLevelType w:val="hybridMultilevel"/>
    <w:tmpl w:val="FA2030A4"/>
    <w:lvl w:ilvl="0" w:tplc="47B0A722">
      <w:start w:val="1"/>
      <w:numFmt w:val="bullet"/>
      <w:lvlText w:val=""/>
      <w:lvlJc w:val="left"/>
      <w:pPr>
        <w:ind w:left="720" w:hanging="360"/>
      </w:pPr>
      <w:rPr>
        <w:rFonts w:ascii="Wingdings" w:hAnsi="Wingdings" w:hint="default"/>
        <w:color w:val="92F105" w:themeColor="accent1"/>
        <w:u w:color="8A999D" w:themeColor="accent3"/>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4240D32"/>
    <w:multiLevelType w:val="multilevel"/>
    <w:tmpl w:val="B890E930"/>
    <w:styleLink w:val="CurrentList2"/>
    <w:lvl w:ilvl="0">
      <w:start w:val="1"/>
      <w:numFmt w:val="bullet"/>
      <w:lvlText w:val=""/>
      <w:lvlJc w:val="left"/>
      <w:pPr>
        <w:ind w:left="567" w:hanging="283"/>
      </w:pPr>
      <w:rPr>
        <w:rFonts w:ascii="Wingdings" w:hAnsi="Wingdings" w:hint="default"/>
        <w:color w:val="006699"/>
      </w:rPr>
    </w:lvl>
    <w:lvl w:ilvl="1">
      <w:start w:val="1"/>
      <w:numFmt w:val="bullet"/>
      <w:lvlText w:val=""/>
      <w:lvlJc w:val="left"/>
      <w:pPr>
        <w:ind w:left="1004" w:hanging="360"/>
      </w:pPr>
      <w:rPr>
        <w:rFonts w:ascii="Wingdings 2" w:hAnsi="Wingdings 2" w:hint="default"/>
        <w:color w:val="006699"/>
      </w:rPr>
    </w:lvl>
    <w:lvl w:ilvl="2">
      <w:start w:val="1"/>
      <w:numFmt w:val="bullet"/>
      <w:lvlText w:val="o"/>
      <w:lvlJc w:val="left"/>
      <w:pPr>
        <w:ind w:left="1364" w:hanging="360"/>
      </w:pPr>
      <w:rPr>
        <w:rFonts w:ascii="Courier New" w:hAnsi="Courier New" w:cs="Courier New" w:hint="default"/>
        <w:color w:val="006699"/>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5" w15:restartNumberingAfterBreak="0">
    <w:nsid w:val="0588625A"/>
    <w:multiLevelType w:val="hybridMultilevel"/>
    <w:tmpl w:val="C90A35D2"/>
    <w:lvl w:ilvl="0" w:tplc="D298C35E">
      <w:start w:val="1"/>
      <w:numFmt w:val="bullet"/>
      <w:lvlText w:val=""/>
      <w:lvlJc w:val="left"/>
      <w:pPr>
        <w:ind w:left="720" w:hanging="360"/>
      </w:pPr>
      <w:rPr>
        <w:rFonts w:ascii="Symbol" w:hAnsi="Symbol" w:hint="default"/>
        <w:color w:val="79BB42"/>
        <w:sz w:val="16"/>
        <w:u w:color="8A999D"/>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6E23B80"/>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7" w15:restartNumberingAfterBreak="0">
    <w:nsid w:val="0B63749C"/>
    <w:multiLevelType w:val="multilevel"/>
    <w:tmpl w:val="C3D8B4C2"/>
    <w:styleLink w:val="CurrentList6"/>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12BC6724"/>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5B16B16"/>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0" w15:restartNumberingAfterBreak="0">
    <w:nsid w:val="1B565D5A"/>
    <w:multiLevelType w:val="hybridMultilevel"/>
    <w:tmpl w:val="ACB058F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C0A70C6"/>
    <w:multiLevelType w:val="multilevel"/>
    <w:tmpl w:val="12D4C4DA"/>
    <w:styleLink w:val="AtchisonStyle"/>
    <w:lvl w:ilvl="0">
      <w:start w:val="1"/>
      <w:numFmt w:val="decimal"/>
      <w:lvlText w:val="%1."/>
      <w:lvlJc w:val="left"/>
      <w:pPr>
        <w:ind w:left="357" w:hanging="357"/>
      </w:pPr>
      <w:rPr>
        <w:rFonts w:ascii="Calibri" w:hAnsi="Calibri" w:hint="default"/>
        <w:b/>
        <w:i w:val="0"/>
        <w:color w:val="006699"/>
        <w:sz w:val="28"/>
      </w:rPr>
    </w:lvl>
    <w:lvl w:ilvl="1">
      <w:start w:val="1"/>
      <w:numFmt w:val="decimal"/>
      <w:lvlText w:val="%1.%2"/>
      <w:lvlJc w:val="left"/>
      <w:pPr>
        <w:tabs>
          <w:tab w:val="num" w:pos="720"/>
        </w:tabs>
        <w:ind w:left="0" w:firstLine="720"/>
      </w:pPr>
      <w:rPr>
        <w:rFonts w:ascii="Calibri" w:hAnsi="Calibri" w:hint="default"/>
        <w:b/>
        <w:i w:val="0"/>
        <w:color w:val="006699"/>
      </w:rPr>
    </w:lvl>
    <w:lvl w:ilvl="2">
      <w:start w:val="1"/>
      <w:numFmt w:val="decimal"/>
      <w:lvlText w:val="%1.%2.%3"/>
      <w:lvlJc w:val="left"/>
      <w:rPr>
        <w:rFonts w:ascii="Cambria" w:hAnsi="Cambria" w:hint="default"/>
        <w:color w:val="608493"/>
      </w:rPr>
    </w:lvl>
    <w:lvl w:ilvl="3">
      <w:start w:val="1"/>
      <w:numFmt w:val="lowerRoman"/>
      <w:lvlText w:val="(%4)"/>
      <w:lvlJc w:val="left"/>
      <w:pPr>
        <w:tabs>
          <w:tab w:val="num" w:pos="1077"/>
        </w:tabs>
        <w:ind w:left="1440" w:hanging="363"/>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1CAD58E3"/>
    <w:multiLevelType w:val="multilevel"/>
    <w:tmpl w:val="59A0A17A"/>
    <w:styleLink w:val="CurrentList5"/>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1DE47C6B"/>
    <w:multiLevelType w:val="multilevel"/>
    <w:tmpl w:val="1090D80C"/>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4" w15:restartNumberingAfterBreak="0">
    <w:nsid w:val="229E3A80"/>
    <w:multiLevelType w:val="hybridMultilevel"/>
    <w:tmpl w:val="C9AE95AC"/>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3911B26"/>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6" w15:restartNumberingAfterBreak="0">
    <w:nsid w:val="254049E5"/>
    <w:multiLevelType w:val="multilevel"/>
    <w:tmpl w:val="E480A5D6"/>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7" w15:restartNumberingAfterBreak="0">
    <w:nsid w:val="29E32705"/>
    <w:multiLevelType w:val="hybridMultilevel"/>
    <w:tmpl w:val="4A761E1A"/>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D171755"/>
    <w:multiLevelType w:val="multilevel"/>
    <w:tmpl w:val="3184FBD8"/>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9" w15:restartNumberingAfterBreak="0">
    <w:nsid w:val="44163AE8"/>
    <w:multiLevelType w:val="multilevel"/>
    <w:tmpl w:val="0809001D"/>
    <w:styleLink w:val="CurrentLi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44413FBF"/>
    <w:multiLevelType w:val="multilevel"/>
    <w:tmpl w:val="D270AEFA"/>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1" w15:restartNumberingAfterBreak="0">
    <w:nsid w:val="44F10A22"/>
    <w:multiLevelType w:val="multilevel"/>
    <w:tmpl w:val="D214C6BC"/>
    <w:lvl w:ilvl="0">
      <w:start w:val="1"/>
      <w:numFmt w:val="bullet"/>
      <w:lvlText w:val=""/>
      <w:lvlJc w:val="left"/>
      <w:pPr>
        <w:ind w:left="720" w:hanging="360"/>
      </w:pPr>
      <w:rPr>
        <w:rFonts w:ascii="Wingdings" w:hAnsi="Wingdings" w:hint="default"/>
        <w:color w:val="63777E" w:themeColor="text2"/>
        <w:sz w:val="22"/>
        <w:u w:color="63777E" w:themeColor="text2"/>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2" w15:restartNumberingAfterBreak="0">
    <w:nsid w:val="46894C4A"/>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3" w15:restartNumberingAfterBreak="0">
    <w:nsid w:val="48274D2E"/>
    <w:multiLevelType w:val="multilevel"/>
    <w:tmpl w:val="83C46682"/>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4" w15:restartNumberingAfterBreak="0">
    <w:nsid w:val="497F5447"/>
    <w:multiLevelType w:val="hybridMultilevel"/>
    <w:tmpl w:val="0F323CE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BA66303"/>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6" w15:restartNumberingAfterBreak="0">
    <w:nsid w:val="4D1C6941"/>
    <w:multiLevelType w:val="multilevel"/>
    <w:tmpl w:val="73841F9E"/>
    <w:styleLink w:val="CurrentList1"/>
    <w:lvl w:ilvl="0">
      <w:start w:val="1"/>
      <w:numFmt w:val="bullet"/>
      <w:lvlText w:val=""/>
      <w:lvlJc w:val="left"/>
      <w:rPr>
        <w:rFonts w:ascii="Wingdings" w:hAnsi="Wingdings" w:hint="default"/>
        <w:color w:val="79BB42"/>
        <w:u w:color="8A999D"/>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7" w15:restartNumberingAfterBreak="0">
    <w:nsid w:val="4F24687C"/>
    <w:multiLevelType w:val="multilevel"/>
    <w:tmpl w:val="69DEE692"/>
    <w:lvl w:ilvl="0">
      <w:start w:val="1"/>
      <w:numFmt w:val="decimal"/>
      <w:pStyle w:val="Heading1"/>
      <w:lvlText w:val="%1"/>
      <w:lvlJc w:val="left"/>
      <w:pPr>
        <w:ind w:left="851" w:hanging="851"/>
      </w:pPr>
      <w:rPr>
        <w:rFonts w:hint="default"/>
      </w:rPr>
    </w:lvl>
    <w:lvl w:ilvl="1">
      <w:start w:val="1"/>
      <w:numFmt w:val="decimal"/>
      <w:pStyle w:val="Heading2"/>
      <w:lvlText w:val="%1.%2"/>
      <w:lvlJc w:val="left"/>
      <w:pPr>
        <w:ind w:left="851" w:hanging="851"/>
      </w:pPr>
      <w:rPr>
        <w:rFonts w:hint="default"/>
      </w:rPr>
    </w:lvl>
    <w:lvl w:ilvl="2">
      <w:start w:val="1"/>
      <w:numFmt w:val="decimal"/>
      <w:pStyle w:val="Heading3"/>
      <w:lvlText w:val="%1.%2.%3"/>
      <w:lvlJc w:val="left"/>
      <w:pPr>
        <w:ind w:left="851" w:hanging="851"/>
      </w:pPr>
      <w:rPr>
        <w:rFonts w:hint="default"/>
      </w:rPr>
    </w:lvl>
    <w:lvl w:ilvl="3">
      <w:start w:val="1"/>
      <w:numFmt w:val="decimal"/>
      <w:pStyle w:val="Heading4"/>
      <w:lvlText w:val="%1.%2.%3.%4"/>
      <w:lvlJc w:val="left"/>
      <w:pPr>
        <w:ind w:left="851" w:hanging="851"/>
      </w:pPr>
      <w:rPr>
        <w:rFonts w:hint="default"/>
      </w:rPr>
    </w:lvl>
    <w:lvl w:ilvl="4">
      <w:start w:val="1"/>
      <w:numFmt w:val="decimal"/>
      <w:pStyle w:val="Heading5"/>
      <w:lvlText w:val="%1.%2.%3.%4.%5"/>
      <w:lvlJc w:val="left"/>
      <w:pPr>
        <w:ind w:left="851" w:hanging="851"/>
      </w:pPr>
      <w:rPr>
        <w:rFonts w:hint="default"/>
      </w:rPr>
    </w:lvl>
    <w:lvl w:ilvl="5">
      <w:start w:val="1"/>
      <w:numFmt w:val="decimal"/>
      <w:pStyle w:val="Heading6"/>
      <w:lvlText w:val="%1.%2.%3.%4.%5.%6"/>
      <w:lvlJc w:val="left"/>
      <w:pPr>
        <w:ind w:left="851" w:hanging="851"/>
      </w:pPr>
      <w:rPr>
        <w:rFonts w:hint="default"/>
      </w:rPr>
    </w:lvl>
    <w:lvl w:ilvl="6">
      <w:start w:val="1"/>
      <w:numFmt w:val="decimal"/>
      <w:pStyle w:val="Heading7"/>
      <w:lvlText w:val="%1.%2.%3.%4.%5.%6.%7"/>
      <w:lvlJc w:val="left"/>
      <w:pPr>
        <w:ind w:left="851" w:hanging="851"/>
      </w:pPr>
      <w:rPr>
        <w:rFonts w:hint="default"/>
      </w:rPr>
    </w:lvl>
    <w:lvl w:ilvl="7">
      <w:start w:val="1"/>
      <w:numFmt w:val="decimal"/>
      <w:pStyle w:val="Heading8"/>
      <w:lvlText w:val="%1.%2.%3.%4.%5.%6.%7.%8"/>
      <w:lvlJc w:val="left"/>
      <w:pPr>
        <w:ind w:left="851" w:hanging="851"/>
      </w:pPr>
      <w:rPr>
        <w:rFonts w:hint="default"/>
      </w:rPr>
    </w:lvl>
    <w:lvl w:ilvl="8">
      <w:start w:val="1"/>
      <w:numFmt w:val="decimal"/>
      <w:pStyle w:val="Heading9"/>
      <w:lvlText w:val="%1.%2.%3.%4.%5.%6.%7.%8.%9"/>
      <w:lvlJc w:val="left"/>
      <w:pPr>
        <w:ind w:left="851" w:hanging="851"/>
      </w:pPr>
      <w:rPr>
        <w:rFonts w:hint="default"/>
      </w:rPr>
    </w:lvl>
  </w:abstractNum>
  <w:abstractNum w:abstractNumId="28" w15:restartNumberingAfterBreak="0">
    <w:nsid w:val="51B022EC"/>
    <w:multiLevelType w:val="multilevel"/>
    <w:tmpl w:val="D3AAC278"/>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9" w15:restartNumberingAfterBreak="0">
    <w:nsid w:val="520605F1"/>
    <w:multiLevelType w:val="hybridMultilevel"/>
    <w:tmpl w:val="1A98BB08"/>
    <w:lvl w:ilvl="0" w:tplc="47B0A722">
      <w:start w:val="1"/>
      <w:numFmt w:val="bullet"/>
      <w:lvlText w:val=""/>
      <w:lvlJc w:val="left"/>
      <w:pPr>
        <w:ind w:left="720" w:hanging="360"/>
      </w:pPr>
      <w:rPr>
        <w:rFonts w:ascii="Wingdings" w:hAnsi="Wingdings" w:hint="default"/>
        <w:color w:val="92F105" w:themeColor="accent1"/>
        <w:u w:color="8A999D" w:themeColor="accent3"/>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53703535"/>
    <w:multiLevelType w:val="multilevel"/>
    <w:tmpl w:val="1060AB6A"/>
    <w:styleLink w:val="CurrentList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1" w15:restartNumberingAfterBreak="0">
    <w:nsid w:val="56525446"/>
    <w:multiLevelType w:val="hybridMultilevel"/>
    <w:tmpl w:val="8B583102"/>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01E3652"/>
    <w:multiLevelType w:val="hybridMultilevel"/>
    <w:tmpl w:val="06B81AB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0850F65"/>
    <w:multiLevelType w:val="multilevel"/>
    <w:tmpl w:val="9D4CD37A"/>
    <w:lvl w:ilvl="0">
      <w:start w:val="1"/>
      <w:numFmt w:val="bullet"/>
      <w:pStyle w:val="bullets"/>
      <w:lvlText w:val=""/>
      <w:lvlJc w:val="left"/>
      <w:pPr>
        <w:ind w:left="567" w:hanging="283"/>
      </w:pPr>
      <w:rPr>
        <w:rFonts w:ascii="Wingdings" w:hAnsi="Wingdings" w:hint="default"/>
        <w:color w:val="76C204"/>
      </w:rPr>
    </w:lvl>
    <w:lvl w:ilvl="1">
      <w:start w:val="1"/>
      <w:numFmt w:val="bullet"/>
      <w:lvlText w:val=""/>
      <w:lvlJc w:val="left"/>
      <w:pPr>
        <w:ind w:left="1004" w:hanging="360"/>
      </w:pPr>
      <w:rPr>
        <w:rFonts w:ascii="Wingdings 2" w:hAnsi="Wingdings 2" w:hint="default"/>
        <w:color w:val="006699"/>
      </w:rPr>
    </w:lvl>
    <w:lvl w:ilvl="2">
      <w:start w:val="1"/>
      <w:numFmt w:val="bullet"/>
      <w:lvlText w:val="o"/>
      <w:lvlJc w:val="left"/>
      <w:pPr>
        <w:ind w:left="1364" w:hanging="360"/>
      </w:pPr>
      <w:rPr>
        <w:rFonts w:ascii="Courier New" w:hAnsi="Courier New" w:cs="Courier New" w:hint="default"/>
        <w:color w:val="006699"/>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34" w15:restartNumberingAfterBreak="0">
    <w:nsid w:val="60AA1991"/>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5" w15:restartNumberingAfterBreak="0">
    <w:nsid w:val="638479F8"/>
    <w:multiLevelType w:val="multilevel"/>
    <w:tmpl w:val="C38201AA"/>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6" w15:restartNumberingAfterBreak="0">
    <w:nsid w:val="693729C1"/>
    <w:multiLevelType w:val="multilevel"/>
    <w:tmpl w:val="55E4868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7" w15:restartNumberingAfterBreak="0">
    <w:nsid w:val="696103DA"/>
    <w:multiLevelType w:val="multilevel"/>
    <w:tmpl w:val="55E4868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8" w15:restartNumberingAfterBreak="0">
    <w:nsid w:val="69DA2962"/>
    <w:multiLevelType w:val="hybridMultilevel"/>
    <w:tmpl w:val="F5F099F0"/>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69F529B7"/>
    <w:multiLevelType w:val="multilevel"/>
    <w:tmpl w:val="E480A5D6"/>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0" w15:restartNumberingAfterBreak="0">
    <w:nsid w:val="6BBF4C5B"/>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1" w15:restartNumberingAfterBreak="0">
    <w:nsid w:val="6D582559"/>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2" w15:restartNumberingAfterBreak="0">
    <w:nsid w:val="6E480B36"/>
    <w:multiLevelType w:val="hybridMultilevel"/>
    <w:tmpl w:val="F3A0FB06"/>
    <w:lvl w:ilvl="0" w:tplc="D298C35E">
      <w:start w:val="1"/>
      <w:numFmt w:val="bullet"/>
      <w:lvlText w:val=""/>
      <w:lvlJc w:val="left"/>
      <w:pPr>
        <w:ind w:left="720" w:hanging="360"/>
      </w:pPr>
      <w:rPr>
        <w:rFonts w:ascii="Symbol" w:hAnsi="Symbol" w:hint="default"/>
        <w:color w:val="79BB42"/>
        <w:sz w:val="16"/>
        <w:u w:color="8A999D"/>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2904A21"/>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4" w15:restartNumberingAfterBreak="0">
    <w:nsid w:val="77055D52"/>
    <w:multiLevelType w:val="hybridMultilevel"/>
    <w:tmpl w:val="BE64B40E"/>
    <w:lvl w:ilvl="0" w:tplc="D298C35E">
      <w:start w:val="1"/>
      <w:numFmt w:val="bullet"/>
      <w:lvlText w:val=""/>
      <w:lvlJc w:val="left"/>
      <w:pPr>
        <w:ind w:left="1080" w:hanging="360"/>
      </w:pPr>
      <w:rPr>
        <w:rFonts w:ascii="Symbol" w:hAnsi="Symbol" w:hint="default"/>
        <w:color w:val="79BB42"/>
        <w:sz w:val="16"/>
        <w:u w:color="8A999D"/>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5" w15:restartNumberingAfterBreak="0">
    <w:nsid w:val="792008EE"/>
    <w:multiLevelType w:val="hybridMultilevel"/>
    <w:tmpl w:val="25D47A14"/>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7A0F7705"/>
    <w:multiLevelType w:val="hybridMultilevel"/>
    <w:tmpl w:val="99865282"/>
    <w:lvl w:ilvl="0" w:tplc="0C090011">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7" w15:restartNumberingAfterBreak="0">
    <w:nsid w:val="7C53572D"/>
    <w:multiLevelType w:val="hybridMultilevel"/>
    <w:tmpl w:val="343E97AA"/>
    <w:lvl w:ilvl="0" w:tplc="74AC72F4">
      <w:start w:val="1"/>
      <w:numFmt w:val="bullet"/>
      <w:pStyle w:val="listbullet0"/>
      <w:lvlText w:val=""/>
      <w:lvlJc w:val="left"/>
      <w:pPr>
        <w:ind w:left="720" w:hanging="360"/>
      </w:pPr>
      <w:rPr>
        <w:rFonts w:ascii="Symbol" w:hAnsi="Symbol" w:hint="default"/>
        <w:color w:val="75C10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8" w15:restartNumberingAfterBreak="0">
    <w:nsid w:val="7EEF67A7"/>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num w:numId="1" w16cid:durableId="111940297">
    <w:abstractNumId w:val="33"/>
  </w:num>
  <w:num w:numId="2" w16cid:durableId="1628126595">
    <w:abstractNumId w:val="11"/>
  </w:num>
  <w:num w:numId="3" w16cid:durableId="2025553252">
    <w:abstractNumId w:val="27"/>
  </w:num>
  <w:num w:numId="4" w16cid:durableId="1950427850">
    <w:abstractNumId w:val="26"/>
  </w:num>
  <w:num w:numId="5" w16cid:durableId="1044016947">
    <w:abstractNumId w:val="4"/>
  </w:num>
  <w:num w:numId="6" w16cid:durableId="637144886">
    <w:abstractNumId w:val="19"/>
  </w:num>
  <w:num w:numId="7" w16cid:durableId="2130540493">
    <w:abstractNumId w:val="30"/>
  </w:num>
  <w:num w:numId="8" w16cid:durableId="872227893">
    <w:abstractNumId w:val="12"/>
  </w:num>
  <w:num w:numId="9" w16cid:durableId="1670866008">
    <w:abstractNumId w:val="7"/>
  </w:num>
  <w:num w:numId="10" w16cid:durableId="125202660">
    <w:abstractNumId w:val="21"/>
  </w:num>
  <w:num w:numId="11" w16cid:durableId="431051196">
    <w:abstractNumId w:val="3"/>
  </w:num>
  <w:num w:numId="12" w16cid:durableId="1756055427">
    <w:abstractNumId w:val="46"/>
  </w:num>
  <w:num w:numId="13" w16cid:durableId="727849042">
    <w:abstractNumId w:val="8"/>
  </w:num>
  <w:num w:numId="14" w16cid:durableId="308242681">
    <w:abstractNumId w:val="14"/>
  </w:num>
  <w:num w:numId="15" w16cid:durableId="619803362">
    <w:abstractNumId w:val="17"/>
  </w:num>
  <w:num w:numId="16" w16cid:durableId="562253381">
    <w:abstractNumId w:val="32"/>
  </w:num>
  <w:num w:numId="17" w16cid:durableId="1926304664">
    <w:abstractNumId w:val="28"/>
  </w:num>
  <w:num w:numId="18" w16cid:durableId="1194806786">
    <w:abstractNumId w:val="31"/>
  </w:num>
  <w:num w:numId="19" w16cid:durableId="2056268699">
    <w:abstractNumId w:val="13"/>
  </w:num>
  <w:num w:numId="20" w16cid:durableId="1106922104">
    <w:abstractNumId w:val="18"/>
  </w:num>
  <w:num w:numId="21" w16cid:durableId="242419243">
    <w:abstractNumId w:val="29"/>
  </w:num>
  <w:num w:numId="22" w16cid:durableId="1152016606">
    <w:abstractNumId w:val="42"/>
  </w:num>
  <w:num w:numId="23" w16cid:durableId="121848495">
    <w:abstractNumId w:val="39"/>
  </w:num>
  <w:num w:numId="24" w16cid:durableId="1473712116">
    <w:abstractNumId w:val="16"/>
  </w:num>
  <w:num w:numId="25" w16cid:durableId="1733191631">
    <w:abstractNumId w:val="37"/>
  </w:num>
  <w:num w:numId="26" w16cid:durableId="714892223">
    <w:abstractNumId w:val="36"/>
  </w:num>
  <w:num w:numId="27" w16cid:durableId="976837947">
    <w:abstractNumId w:val="20"/>
  </w:num>
  <w:num w:numId="28" w16cid:durableId="381370084">
    <w:abstractNumId w:val="40"/>
  </w:num>
  <w:num w:numId="29" w16cid:durableId="1838880364">
    <w:abstractNumId w:val="34"/>
  </w:num>
  <w:num w:numId="30" w16cid:durableId="1151366052">
    <w:abstractNumId w:val="15"/>
  </w:num>
  <w:num w:numId="31" w16cid:durableId="533734225">
    <w:abstractNumId w:val="6"/>
  </w:num>
  <w:num w:numId="32" w16cid:durableId="397822983">
    <w:abstractNumId w:val="48"/>
  </w:num>
  <w:num w:numId="33" w16cid:durableId="1356080867">
    <w:abstractNumId w:val="9"/>
  </w:num>
  <w:num w:numId="34" w16cid:durableId="454102505">
    <w:abstractNumId w:val="22"/>
  </w:num>
  <w:num w:numId="35" w16cid:durableId="396905558">
    <w:abstractNumId w:val="10"/>
  </w:num>
  <w:num w:numId="36" w16cid:durableId="220480753">
    <w:abstractNumId w:val="43"/>
  </w:num>
  <w:num w:numId="37" w16cid:durableId="1918048893">
    <w:abstractNumId w:val="41"/>
  </w:num>
  <w:num w:numId="38" w16cid:durableId="1562327408">
    <w:abstractNumId w:val="25"/>
  </w:num>
  <w:num w:numId="39" w16cid:durableId="62873375">
    <w:abstractNumId w:val="35"/>
  </w:num>
  <w:num w:numId="40" w16cid:durableId="2080250020">
    <w:abstractNumId w:val="5"/>
  </w:num>
  <w:num w:numId="41" w16cid:durableId="1566649473">
    <w:abstractNumId w:val="38"/>
  </w:num>
  <w:num w:numId="42" w16cid:durableId="1887447419">
    <w:abstractNumId w:val="24"/>
  </w:num>
  <w:num w:numId="43" w16cid:durableId="367801465">
    <w:abstractNumId w:val="23"/>
  </w:num>
  <w:num w:numId="44" w16cid:durableId="1436711967">
    <w:abstractNumId w:val="45"/>
  </w:num>
  <w:num w:numId="45" w16cid:durableId="1718896817">
    <w:abstractNumId w:val="44"/>
  </w:num>
  <w:num w:numId="46" w16cid:durableId="1900899953">
    <w:abstractNumId w:val="27"/>
  </w:num>
  <w:num w:numId="47" w16cid:durableId="1112822029">
    <w:abstractNumId w:val="2"/>
  </w:num>
  <w:num w:numId="48" w16cid:durableId="1957590398">
    <w:abstractNumId w:val="0"/>
  </w:num>
  <w:num w:numId="49" w16cid:durableId="192039395">
    <w:abstractNumId w:val="1"/>
  </w:num>
  <w:num w:numId="50" w16cid:durableId="923148362">
    <w:abstractNumId w:val="47"/>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Version" w:val="5.0"/>
  </w:docVars>
  <w:rsids>
    <w:rsidRoot w:val="000F02AC"/>
    <w:rsid w:val="0000151B"/>
    <w:rsid w:val="00005A50"/>
    <w:rsid w:val="0001130A"/>
    <w:rsid w:val="000146BA"/>
    <w:rsid w:val="000171ED"/>
    <w:rsid w:val="00020228"/>
    <w:rsid w:val="00023D2C"/>
    <w:rsid w:val="00043148"/>
    <w:rsid w:val="000459E1"/>
    <w:rsid w:val="000532D3"/>
    <w:rsid w:val="00056847"/>
    <w:rsid w:val="000678CC"/>
    <w:rsid w:val="000757DE"/>
    <w:rsid w:val="00080973"/>
    <w:rsid w:val="00087F53"/>
    <w:rsid w:val="00090422"/>
    <w:rsid w:val="000955EA"/>
    <w:rsid w:val="000A228B"/>
    <w:rsid w:val="000A304C"/>
    <w:rsid w:val="000A62F1"/>
    <w:rsid w:val="000A6B34"/>
    <w:rsid w:val="000B1D78"/>
    <w:rsid w:val="000B3BF3"/>
    <w:rsid w:val="000C01EB"/>
    <w:rsid w:val="000C7749"/>
    <w:rsid w:val="000D087D"/>
    <w:rsid w:val="000D6FA5"/>
    <w:rsid w:val="000E01D9"/>
    <w:rsid w:val="000E1D69"/>
    <w:rsid w:val="000E1F6A"/>
    <w:rsid w:val="000E6D21"/>
    <w:rsid w:val="000F02AC"/>
    <w:rsid w:val="000F20C5"/>
    <w:rsid w:val="000F44F8"/>
    <w:rsid w:val="001033FC"/>
    <w:rsid w:val="00115153"/>
    <w:rsid w:val="0011786F"/>
    <w:rsid w:val="00122DFD"/>
    <w:rsid w:val="0012448B"/>
    <w:rsid w:val="00124523"/>
    <w:rsid w:val="00125EA6"/>
    <w:rsid w:val="0012798C"/>
    <w:rsid w:val="001329E3"/>
    <w:rsid w:val="00133452"/>
    <w:rsid w:val="00135755"/>
    <w:rsid w:val="00136695"/>
    <w:rsid w:val="00141FCE"/>
    <w:rsid w:val="00142864"/>
    <w:rsid w:val="00160144"/>
    <w:rsid w:val="00165987"/>
    <w:rsid w:val="001824B5"/>
    <w:rsid w:val="001845F0"/>
    <w:rsid w:val="001964BA"/>
    <w:rsid w:val="001B3171"/>
    <w:rsid w:val="001C1706"/>
    <w:rsid w:val="001C21BB"/>
    <w:rsid w:val="001C33C8"/>
    <w:rsid w:val="001D529D"/>
    <w:rsid w:val="001D6606"/>
    <w:rsid w:val="001E6B7E"/>
    <w:rsid w:val="001F3D92"/>
    <w:rsid w:val="001F5791"/>
    <w:rsid w:val="002001E8"/>
    <w:rsid w:val="00205192"/>
    <w:rsid w:val="0020556B"/>
    <w:rsid w:val="00205695"/>
    <w:rsid w:val="0021075E"/>
    <w:rsid w:val="002133B0"/>
    <w:rsid w:val="00217EC2"/>
    <w:rsid w:val="00221A34"/>
    <w:rsid w:val="002239A0"/>
    <w:rsid w:val="00230F55"/>
    <w:rsid w:val="002363CC"/>
    <w:rsid w:val="0024534D"/>
    <w:rsid w:val="00253974"/>
    <w:rsid w:val="0025644B"/>
    <w:rsid w:val="00257642"/>
    <w:rsid w:val="0025781D"/>
    <w:rsid w:val="002623DE"/>
    <w:rsid w:val="0026385F"/>
    <w:rsid w:val="002654BE"/>
    <w:rsid w:val="002669A4"/>
    <w:rsid w:val="00273AFA"/>
    <w:rsid w:val="00296F75"/>
    <w:rsid w:val="002976D3"/>
    <w:rsid w:val="00297D02"/>
    <w:rsid w:val="002A4CDE"/>
    <w:rsid w:val="002B121D"/>
    <w:rsid w:val="002C227E"/>
    <w:rsid w:val="002C3024"/>
    <w:rsid w:val="002D7D38"/>
    <w:rsid w:val="002F1ED0"/>
    <w:rsid w:val="002F2626"/>
    <w:rsid w:val="002F4B28"/>
    <w:rsid w:val="00313554"/>
    <w:rsid w:val="00314513"/>
    <w:rsid w:val="00326B16"/>
    <w:rsid w:val="00335364"/>
    <w:rsid w:val="0034552F"/>
    <w:rsid w:val="003827F0"/>
    <w:rsid w:val="00385652"/>
    <w:rsid w:val="003950AC"/>
    <w:rsid w:val="003A75A7"/>
    <w:rsid w:val="003A7A7E"/>
    <w:rsid w:val="003B017B"/>
    <w:rsid w:val="003B1B03"/>
    <w:rsid w:val="003B518C"/>
    <w:rsid w:val="003B7D5F"/>
    <w:rsid w:val="003C4951"/>
    <w:rsid w:val="003C6E88"/>
    <w:rsid w:val="003C77AB"/>
    <w:rsid w:val="003D67B8"/>
    <w:rsid w:val="003D68AD"/>
    <w:rsid w:val="003E21B6"/>
    <w:rsid w:val="003F581A"/>
    <w:rsid w:val="0040435A"/>
    <w:rsid w:val="00406CE0"/>
    <w:rsid w:val="0042344E"/>
    <w:rsid w:val="00425DDD"/>
    <w:rsid w:val="004404AE"/>
    <w:rsid w:val="0044110A"/>
    <w:rsid w:val="004419CF"/>
    <w:rsid w:val="00446F92"/>
    <w:rsid w:val="004505C2"/>
    <w:rsid w:val="00452CCC"/>
    <w:rsid w:val="00457FBB"/>
    <w:rsid w:val="004647B4"/>
    <w:rsid w:val="0046774D"/>
    <w:rsid w:val="004828E1"/>
    <w:rsid w:val="00491C09"/>
    <w:rsid w:val="004A5028"/>
    <w:rsid w:val="004A5CDF"/>
    <w:rsid w:val="004B2256"/>
    <w:rsid w:val="004B37EF"/>
    <w:rsid w:val="004B3CB6"/>
    <w:rsid w:val="004C4416"/>
    <w:rsid w:val="004D0895"/>
    <w:rsid w:val="004D7F2D"/>
    <w:rsid w:val="004E523F"/>
    <w:rsid w:val="004F05E9"/>
    <w:rsid w:val="004F1681"/>
    <w:rsid w:val="004F5A87"/>
    <w:rsid w:val="005052AC"/>
    <w:rsid w:val="00505C77"/>
    <w:rsid w:val="0051204C"/>
    <w:rsid w:val="00513EF0"/>
    <w:rsid w:val="0051406F"/>
    <w:rsid w:val="0051469E"/>
    <w:rsid w:val="00517E90"/>
    <w:rsid w:val="00521981"/>
    <w:rsid w:val="005250C4"/>
    <w:rsid w:val="00544C13"/>
    <w:rsid w:val="005460DA"/>
    <w:rsid w:val="0056683C"/>
    <w:rsid w:val="00567CEE"/>
    <w:rsid w:val="0057386D"/>
    <w:rsid w:val="0058272A"/>
    <w:rsid w:val="00582FF9"/>
    <w:rsid w:val="0059421B"/>
    <w:rsid w:val="00595E5D"/>
    <w:rsid w:val="005961BD"/>
    <w:rsid w:val="005968B1"/>
    <w:rsid w:val="005A0EF5"/>
    <w:rsid w:val="005A237C"/>
    <w:rsid w:val="005A26E3"/>
    <w:rsid w:val="005A45D0"/>
    <w:rsid w:val="005B0B31"/>
    <w:rsid w:val="005B64E3"/>
    <w:rsid w:val="005D3D76"/>
    <w:rsid w:val="005D4B57"/>
    <w:rsid w:val="005D4CD1"/>
    <w:rsid w:val="005D6C2C"/>
    <w:rsid w:val="005E14BC"/>
    <w:rsid w:val="005E3A13"/>
    <w:rsid w:val="005E760E"/>
    <w:rsid w:val="005F127F"/>
    <w:rsid w:val="005F6BD8"/>
    <w:rsid w:val="005F704A"/>
    <w:rsid w:val="00600D17"/>
    <w:rsid w:val="006017C6"/>
    <w:rsid w:val="0062106C"/>
    <w:rsid w:val="00630F3A"/>
    <w:rsid w:val="00655D4A"/>
    <w:rsid w:val="00661CAA"/>
    <w:rsid w:val="00664EDF"/>
    <w:rsid w:val="0067114A"/>
    <w:rsid w:val="0067723A"/>
    <w:rsid w:val="0068360E"/>
    <w:rsid w:val="006A0003"/>
    <w:rsid w:val="006A0F2E"/>
    <w:rsid w:val="006A100F"/>
    <w:rsid w:val="006A3FD4"/>
    <w:rsid w:val="006A4E4D"/>
    <w:rsid w:val="006B1FBF"/>
    <w:rsid w:val="006B77B2"/>
    <w:rsid w:val="006B7AFE"/>
    <w:rsid w:val="006D16B5"/>
    <w:rsid w:val="006D7990"/>
    <w:rsid w:val="006E17F5"/>
    <w:rsid w:val="006F444A"/>
    <w:rsid w:val="006F5D86"/>
    <w:rsid w:val="006F7298"/>
    <w:rsid w:val="00706481"/>
    <w:rsid w:val="0072067A"/>
    <w:rsid w:val="00724410"/>
    <w:rsid w:val="00725745"/>
    <w:rsid w:val="00733A9C"/>
    <w:rsid w:val="00736F70"/>
    <w:rsid w:val="00744F32"/>
    <w:rsid w:val="007516EF"/>
    <w:rsid w:val="00755321"/>
    <w:rsid w:val="00757DFF"/>
    <w:rsid w:val="00760AA9"/>
    <w:rsid w:val="00765873"/>
    <w:rsid w:val="00765B60"/>
    <w:rsid w:val="00780A4E"/>
    <w:rsid w:val="00787223"/>
    <w:rsid w:val="00794ED1"/>
    <w:rsid w:val="007A113B"/>
    <w:rsid w:val="007A2E69"/>
    <w:rsid w:val="007A3C41"/>
    <w:rsid w:val="007A7C78"/>
    <w:rsid w:val="007B3AE3"/>
    <w:rsid w:val="007B4373"/>
    <w:rsid w:val="007C0B68"/>
    <w:rsid w:val="007C1956"/>
    <w:rsid w:val="007C2B46"/>
    <w:rsid w:val="007C4FCC"/>
    <w:rsid w:val="007D2662"/>
    <w:rsid w:val="007E3707"/>
    <w:rsid w:val="007F0027"/>
    <w:rsid w:val="007F1468"/>
    <w:rsid w:val="00800868"/>
    <w:rsid w:val="00804D15"/>
    <w:rsid w:val="008246D8"/>
    <w:rsid w:val="00824E97"/>
    <w:rsid w:val="00825259"/>
    <w:rsid w:val="00834DA8"/>
    <w:rsid w:val="00837192"/>
    <w:rsid w:val="00844973"/>
    <w:rsid w:val="0084698F"/>
    <w:rsid w:val="00846DA6"/>
    <w:rsid w:val="00846E9E"/>
    <w:rsid w:val="008505BC"/>
    <w:rsid w:val="00856676"/>
    <w:rsid w:val="00861314"/>
    <w:rsid w:val="00862B20"/>
    <w:rsid w:val="00874B61"/>
    <w:rsid w:val="00884731"/>
    <w:rsid w:val="008855EA"/>
    <w:rsid w:val="008A37A8"/>
    <w:rsid w:val="008A65C5"/>
    <w:rsid w:val="008B0016"/>
    <w:rsid w:val="008B1956"/>
    <w:rsid w:val="008C3EEA"/>
    <w:rsid w:val="008C607D"/>
    <w:rsid w:val="008D7F4A"/>
    <w:rsid w:val="008F1AD2"/>
    <w:rsid w:val="008F3DAD"/>
    <w:rsid w:val="008F459D"/>
    <w:rsid w:val="00900F06"/>
    <w:rsid w:val="00904A1E"/>
    <w:rsid w:val="0090685D"/>
    <w:rsid w:val="00913EC6"/>
    <w:rsid w:val="00914225"/>
    <w:rsid w:val="00914411"/>
    <w:rsid w:val="00914957"/>
    <w:rsid w:val="00917410"/>
    <w:rsid w:val="00917CB2"/>
    <w:rsid w:val="00936DA7"/>
    <w:rsid w:val="00945C4E"/>
    <w:rsid w:val="009577DE"/>
    <w:rsid w:val="00970FE4"/>
    <w:rsid w:val="0098143D"/>
    <w:rsid w:val="00992A45"/>
    <w:rsid w:val="009A294C"/>
    <w:rsid w:val="009C649D"/>
    <w:rsid w:val="009D7522"/>
    <w:rsid w:val="009F1FED"/>
    <w:rsid w:val="00A0244E"/>
    <w:rsid w:val="00A04E2C"/>
    <w:rsid w:val="00A1378C"/>
    <w:rsid w:val="00A138F2"/>
    <w:rsid w:val="00A23D1E"/>
    <w:rsid w:val="00A41C60"/>
    <w:rsid w:val="00A42EB9"/>
    <w:rsid w:val="00A57748"/>
    <w:rsid w:val="00A6563B"/>
    <w:rsid w:val="00A75CFB"/>
    <w:rsid w:val="00A80A2D"/>
    <w:rsid w:val="00A81E8D"/>
    <w:rsid w:val="00A90A13"/>
    <w:rsid w:val="00AA0C33"/>
    <w:rsid w:val="00AD0802"/>
    <w:rsid w:val="00AD3230"/>
    <w:rsid w:val="00AD4678"/>
    <w:rsid w:val="00AD561F"/>
    <w:rsid w:val="00AD6F21"/>
    <w:rsid w:val="00AE1753"/>
    <w:rsid w:val="00AE7AAE"/>
    <w:rsid w:val="00B022D0"/>
    <w:rsid w:val="00B12514"/>
    <w:rsid w:val="00B318C3"/>
    <w:rsid w:val="00B41343"/>
    <w:rsid w:val="00B4171F"/>
    <w:rsid w:val="00B47B9C"/>
    <w:rsid w:val="00B54909"/>
    <w:rsid w:val="00B55051"/>
    <w:rsid w:val="00B60B1B"/>
    <w:rsid w:val="00B6345E"/>
    <w:rsid w:val="00B82E6B"/>
    <w:rsid w:val="00B8410E"/>
    <w:rsid w:val="00B936D9"/>
    <w:rsid w:val="00BA5A06"/>
    <w:rsid w:val="00BB2107"/>
    <w:rsid w:val="00BB68EE"/>
    <w:rsid w:val="00BC4145"/>
    <w:rsid w:val="00BD1E39"/>
    <w:rsid w:val="00BD36D0"/>
    <w:rsid w:val="00BE3AD8"/>
    <w:rsid w:val="00BE55E7"/>
    <w:rsid w:val="00BF08B9"/>
    <w:rsid w:val="00BF2265"/>
    <w:rsid w:val="00BF3B9F"/>
    <w:rsid w:val="00BF57D3"/>
    <w:rsid w:val="00C115AC"/>
    <w:rsid w:val="00C13B14"/>
    <w:rsid w:val="00C2020C"/>
    <w:rsid w:val="00C22003"/>
    <w:rsid w:val="00C25181"/>
    <w:rsid w:val="00C26A95"/>
    <w:rsid w:val="00C31C53"/>
    <w:rsid w:val="00C33904"/>
    <w:rsid w:val="00C5115D"/>
    <w:rsid w:val="00C57FDE"/>
    <w:rsid w:val="00C6136A"/>
    <w:rsid w:val="00C61941"/>
    <w:rsid w:val="00C70EBB"/>
    <w:rsid w:val="00C82745"/>
    <w:rsid w:val="00C91811"/>
    <w:rsid w:val="00C943B7"/>
    <w:rsid w:val="00CA5F42"/>
    <w:rsid w:val="00CB2768"/>
    <w:rsid w:val="00CC1414"/>
    <w:rsid w:val="00CC25E0"/>
    <w:rsid w:val="00CD6FA3"/>
    <w:rsid w:val="00CD731E"/>
    <w:rsid w:val="00CE62E7"/>
    <w:rsid w:val="00CE6C7F"/>
    <w:rsid w:val="00CF110A"/>
    <w:rsid w:val="00CF626C"/>
    <w:rsid w:val="00CF6357"/>
    <w:rsid w:val="00D01265"/>
    <w:rsid w:val="00D01C8E"/>
    <w:rsid w:val="00D03D4B"/>
    <w:rsid w:val="00D065F2"/>
    <w:rsid w:val="00D066A3"/>
    <w:rsid w:val="00D10C92"/>
    <w:rsid w:val="00D1254D"/>
    <w:rsid w:val="00D14B14"/>
    <w:rsid w:val="00D15223"/>
    <w:rsid w:val="00D16796"/>
    <w:rsid w:val="00D207B2"/>
    <w:rsid w:val="00D367E0"/>
    <w:rsid w:val="00D44E46"/>
    <w:rsid w:val="00D50911"/>
    <w:rsid w:val="00D523A8"/>
    <w:rsid w:val="00D64770"/>
    <w:rsid w:val="00D67117"/>
    <w:rsid w:val="00D72ECE"/>
    <w:rsid w:val="00D76439"/>
    <w:rsid w:val="00D84356"/>
    <w:rsid w:val="00D8447B"/>
    <w:rsid w:val="00D86C13"/>
    <w:rsid w:val="00D95C05"/>
    <w:rsid w:val="00DA335B"/>
    <w:rsid w:val="00DA62BD"/>
    <w:rsid w:val="00DB3D87"/>
    <w:rsid w:val="00DC7252"/>
    <w:rsid w:val="00DD0C88"/>
    <w:rsid w:val="00DD3C69"/>
    <w:rsid w:val="00DD4AF2"/>
    <w:rsid w:val="00DD5F51"/>
    <w:rsid w:val="00DD739B"/>
    <w:rsid w:val="00DE2A58"/>
    <w:rsid w:val="00DF12F7"/>
    <w:rsid w:val="00DF422E"/>
    <w:rsid w:val="00E10391"/>
    <w:rsid w:val="00E20344"/>
    <w:rsid w:val="00E22922"/>
    <w:rsid w:val="00E2313F"/>
    <w:rsid w:val="00E23AB5"/>
    <w:rsid w:val="00E34E9E"/>
    <w:rsid w:val="00E5036A"/>
    <w:rsid w:val="00E543AD"/>
    <w:rsid w:val="00E54C89"/>
    <w:rsid w:val="00E55184"/>
    <w:rsid w:val="00E57A7B"/>
    <w:rsid w:val="00E6127E"/>
    <w:rsid w:val="00E61CBB"/>
    <w:rsid w:val="00E66779"/>
    <w:rsid w:val="00E66F0E"/>
    <w:rsid w:val="00E70701"/>
    <w:rsid w:val="00E70A17"/>
    <w:rsid w:val="00E916A2"/>
    <w:rsid w:val="00EA181A"/>
    <w:rsid w:val="00EA4D0C"/>
    <w:rsid w:val="00EA6AC1"/>
    <w:rsid w:val="00EA6C34"/>
    <w:rsid w:val="00EA766A"/>
    <w:rsid w:val="00EA796A"/>
    <w:rsid w:val="00EB1923"/>
    <w:rsid w:val="00EB2D05"/>
    <w:rsid w:val="00EC1404"/>
    <w:rsid w:val="00EC148D"/>
    <w:rsid w:val="00EE07B0"/>
    <w:rsid w:val="00EE0E27"/>
    <w:rsid w:val="00EE3F7E"/>
    <w:rsid w:val="00EE6D45"/>
    <w:rsid w:val="00EF0BC8"/>
    <w:rsid w:val="00EF3428"/>
    <w:rsid w:val="00EF61EC"/>
    <w:rsid w:val="00F03A32"/>
    <w:rsid w:val="00F03CBE"/>
    <w:rsid w:val="00F21F5A"/>
    <w:rsid w:val="00F22A97"/>
    <w:rsid w:val="00F32A55"/>
    <w:rsid w:val="00F32E5A"/>
    <w:rsid w:val="00F33E68"/>
    <w:rsid w:val="00F366B8"/>
    <w:rsid w:val="00F47873"/>
    <w:rsid w:val="00F51361"/>
    <w:rsid w:val="00F53743"/>
    <w:rsid w:val="00F703BA"/>
    <w:rsid w:val="00F83688"/>
    <w:rsid w:val="00F91EE9"/>
    <w:rsid w:val="00F92BFC"/>
    <w:rsid w:val="00FB356D"/>
    <w:rsid w:val="00FB71BE"/>
    <w:rsid w:val="00FC03E8"/>
    <w:rsid w:val="00FC09EE"/>
    <w:rsid w:val="00FC5EED"/>
    <w:rsid w:val="00FD10ED"/>
    <w:rsid w:val="00FE5824"/>
    <w:rsid w:val="00FF0682"/>
    <w:rsid w:val="00FF13A3"/>
    <w:rsid w:val="00FF1E4F"/>
    <w:rsid w:val="00FF443E"/>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F53B37"/>
  <w15:docId w15:val="{4C703947-55FE-7949-A81F-C205DE02C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33FC"/>
    <w:rPr>
      <w:rFonts w:cs="Times New Roman (Body CS)"/>
      <w:szCs w:val="22"/>
      <w:lang w:eastAsia="en-US"/>
    </w:rPr>
  </w:style>
  <w:style w:type="paragraph" w:styleId="Heading1">
    <w:name w:val="heading 1"/>
    <w:aliases w:val="Heading 1 Char Char + Left,Left:  0 cm,First line:..."/>
    <w:basedOn w:val="Normal"/>
    <w:next w:val="Normal"/>
    <w:link w:val="Heading1Char"/>
    <w:autoRedefine/>
    <w:uiPriority w:val="9"/>
    <w:qFormat/>
    <w:rsid w:val="00FF13A3"/>
    <w:pPr>
      <w:keepNext/>
      <w:keepLines/>
      <w:numPr>
        <w:numId w:val="3"/>
      </w:numPr>
      <w:spacing w:before="400" w:after="200"/>
      <w:outlineLvl w:val="0"/>
    </w:pPr>
    <w:rPr>
      <w:rFonts w:eastAsia="Times New Roman" w:cs="Times New Roman (Headings CS)"/>
      <w:b/>
      <w:bCs/>
      <w:color w:val="1C5F69"/>
      <w:sz w:val="34"/>
      <w:szCs w:val="28"/>
    </w:rPr>
  </w:style>
  <w:style w:type="paragraph" w:styleId="Heading2">
    <w:name w:val="heading 2"/>
    <w:basedOn w:val="Normal"/>
    <w:next w:val="Normal"/>
    <w:link w:val="Heading2Char"/>
    <w:uiPriority w:val="9"/>
    <w:unhideWhenUsed/>
    <w:qFormat/>
    <w:rsid w:val="003B1B03"/>
    <w:pPr>
      <w:keepNext/>
      <w:keepLines/>
      <w:numPr>
        <w:ilvl w:val="1"/>
        <w:numId w:val="3"/>
      </w:numPr>
      <w:spacing w:before="300" w:after="100"/>
      <w:outlineLvl w:val="1"/>
    </w:pPr>
    <w:rPr>
      <w:rFonts w:eastAsia="Times New Roman" w:cs="Times New Roman"/>
      <w:b/>
      <w:bCs/>
      <w:color w:val="1C5F69"/>
      <w:sz w:val="28"/>
      <w:szCs w:val="26"/>
    </w:rPr>
  </w:style>
  <w:style w:type="paragraph" w:styleId="Heading3">
    <w:name w:val="heading 3"/>
    <w:aliases w:val="Level 1 - 1"/>
    <w:basedOn w:val="Normal"/>
    <w:next w:val="Normal"/>
    <w:link w:val="Heading3Char"/>
    <w:uiPriority w:val="9"/>
    <w:unhideWhenUsed/>
    <w:qFormat/>
    <w:rsid w:val="00C31C53"/>
    <w:pPr>
      <w:keepNext/>
      <w:keepLines/>
      <w:numPr>
        <w:ilvl w:val="2"/>
        <w:numId w:val="3"/>
      </w:numPr>
      <w:spacing w:before="100" w:after="100"/>
      <w:outlineLvl w:val="2"/>
    </w:pPr>
    <w:rPr>
      <w:rFonts w:eastAsia="Times New Roman" w:cs="Times New Roman"/>
      <w:b/>
      <w:bCs/>
      <w:color w:val="1C5F69"/>
    </w:rPr>
  </w:style>
  <w:style w:type="paragraph" w:styleId="Heading4">
    <w:name w:val="heading 4"/>
    <w:basedOn w:val="Normal"/>
    <w:next w:val="Normal"/>
    <w:link w:val="Heading4Char"/>
    <w:uiPriority w:val="9"/>
    <w:unhideWhenUsed/>
    <w:qFormat/>
    <w:rsid w:val="004505C2"/>
    <w:pPr>
      <w:keepNext/>
      <w:keepLines/>
      <w:numPr>
        <w:ilvl w:val="3"/>
        <w:numId w:val="3"/>
      </w:numPr>
      <w:spacing w:before="200"/>
      <w:outlineLvl w:val="3"/>
    </w:pPr>
    <w:rPr>
      <w:rFonts w:eastAsia="Times New Roman" w:cs="Times New Roman"/>
      <w:b/>
      <w:bCs/>
      <w:i/>
      <w:iCs/>
      <w:color w:val="000000"/>
      <w:sz w:val="24"/>
    </w:rPr>
  </w:style>
  <w:style w:type="paragraph" w:styleId="Heading5">
    <w:name w:val="heading 5"/>
    <w:basedOn w:val="Normal"/>
    <w:next w:val="Normal"/>
    <w:link w:val="Heading5Char"/>
    <w:uiPriority w:val="9"/>
    <w:semiHidden/>
    <w:unhideWhenUsed/>
    <w:qFormat/>
    <w:rsid w:val="004505C2"/>
    <w:pPr>
      <w:keepNext/>
      <w:keepLines/>
      <w:numPr>
        <w:ilvl w:val="4"/>
        <w:numId w:val="3"/>
      </w:numPr>
      <w:spacing w:before="200"/>
      <w:outlineLvl w:val="4"/>
    </w:pPr>
    <w:rPr>
      <w:rFonts w:eastAsia="Times New Roman" w:cs="Times New Roman"/>
      <w:color w:val="000000"/>
      <w:sz w:val="22"/>
    </w:rPr>
  </w:style>
  <w:style w:type="paragraph" w:styleId="Heading6">
    <w:name w:val="heading 6"/>
    <w:basedOn w:val="Normal"/>
    <w:next w:val="Normal"/>
    <w:link w:val="Heading6Char"/>
    <w:uiPriority w:val="9"/>
    <w:semiHidden/>
    <w:unhideWhenUsed/>
    <w:qFormat/>
    <w:rsid w:val="004505C2"/>
    <w:pPr>
      <w:keepNext/>
      <w:keepLines/>
      <w:numPr>
        <w:ilvl w:val="5"/>
        <w:numId w:val="3"/>
      </w:numPr>
      <w:spacing w:before="200"/>
      <w:outlineLvl w:val="5"/>
    </w:pPr>
    <w:rPr>
      <w:rFonts w:eastAsia="Times New Roman" w:cs="Times New Roman"/>
      <w:iCs/>
      <w:color w:val="92F105"/>
      <w:sz w:val="22"/>
    </w:rPr>
  </w:style>
  <w:style w:type="paragraph" w:styleId="Heading7">
    <w:name w:val="heading 7"/>
    <w:basedOn w:val="Normal"/>
    <w:next w:val="Normal"/>
    <w:link w:val="Heading7Char"/>
    <w:uiPriority w:val="9"/>
    <w:semiHidden/>
    <w:unhideWhenUsed/>
    <w:qFormat/>
    <w:rsid w:val="004505C2"/>
    <w:pPr>
      <w:keepNext/>
      <w:keepLines/>
      <w:numPr>
        <w:ilvl w:val="6"/>
        <w:numId w:val="3"/>
      </w:numPr>
      <w:spacing w:before="200"/>
      <w:outlineLvl w:val="6"/>
    </w:pPr>
    <w:rPr>
      <w:rFonts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4505C2"/>
    <w:pPr>
      <w:keepNext/>
      <w:keepLines/>
      <w:numPr>
        <w:ilvl w:val="7"/>
        <w:numId w:val="3"/>
      </w:numPr>
      <w:spacing w:before="200"/>
      <w:outlineLvl w:val="7"/>
    </w:pPr>
    <w:rPr>
      <w:rFonts w:eastAsia="Times New Roman" w:cs="Times New Roman"/>
      <w:color w:val="000000"/>
      <w:szCs w:val="20"/>
    </w:rPr>
  </w:style>
  <w:style w:type="paragraph" w:styleId="Heading9">
    <w:name w:val="heading 9"/>
    <w:basedOn w:val="Normal"/>
    <w:next w:val="Normal"/>
    <w:link w:val="Heading9Char"/>
    <w:uiPriority w:val="9"/>
    <w:semiHidden/>
    <w:unhideWhenUsed/>
    <w:qFormat/>
    <w:rsid w:val="004505C2"/>
    <w:pPr>
      <w:keepNext/>
      <w:keepLines/>
      <w:numPr>
        <w:ilvl w:val="8"/>
        <w:numId w:val="3"/>
      </w:numPr>
      <w:spacing w:before="200"/>
      <w:outlineLvl w:val="8"/>
    </w:pPr>
    <w:rPr>
      <w:rFonts w:eastAsia="Times New Roman" w:cs="Times New Roman"/>
      <w:i/>
      <w:iCs/>
      <w:color w:val="00000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1469E"/>
    <w:pPr>
      <w:spacing w:after="320" w:line="640" w:lineRule="exact"/>
      <w:contextualSpacing/>
    </w:pPr>
    <w:rPr>
      <w:rFonts w:eastAsia="Times New Roman" w:cs="Times New Roman"/>
      <w:color w:val="FFFFFF"/>
      <w:kern w:val="28"/>
      <w:sz w:val="64"/>
      <w:szCs w:val="52"/>
    </w:rPr>
  </w:style>
  <w:style w:type="character" w:customStyle="1" w:styleId="TitleChar">
    <w:name w:val="Title Char"/>
    <w:link w:val="Title"/>
    <w:uiPriority w:val="10"/>
    <w:rsid w:val="0051469E"/>
    <w:rPr>
      <w:rFonts w:eastAsia="Times New Roman"/>
      <w:color w:val="FFFFFF"/>
      <w:kern w:val="28"/>
      <w:sz w:val="64"/>
      <w:szCs w:val="52"/>
      <w:lang w:eastAsia="en-US"/>
    </w:rPr>
  </w:style>
  <w:style w:type="paragraph" w:customStyle="1" w:styleId="bullets">
    <w:name w:val="bullets"/>
    <w:basedOn w:val="ListParagraph"/>
    <w:next w:val="Normal"/>
    <w:rsid w:val="009A294C"/>
    <w:pPr>
      <w:numPr>
        <w:numId w:val="1"/>
      </w:numPr>
      <w:autoSpaceDE/>
      <w:autoSpaceDN/>
      <w:adjustRightInd/>
      <w:textAlignment w:val="auto"/>
    </w:pPr>
  </w:style>
  <w:style w:type="paragraph" w:styleId="BodyText">
    <w:name w:val="Body Text"/>
    <w:basedOn w:val="Normal"/>
    <w:link w:val="BodyTextChar"/>
    <w:uiPriority w:val="99"/>
    <w:semiHidden/>
    <w:unhideWhenUsed/>
    <w:rsid w:val="00A57748"/>
  </w:style>
  <w:style w:type="character" w:customStyle="1" w:styleId="BodyTextChar">
    <w:name w:val="Body Text Char"/>
    <w:link w:val="BodyText"/>
    <w:uiPriority w:val="99"/>
    <w:semiHidden/>
    <w:rsid w:val="00A57748"/>
    <w:rPr>
      <w:color w:val="3B3838"/>
      <w:sz w:val="18"/>
    </w:rPr>
  </w:style>
  <w:style w:type="paragraph" w:styleId="BlockText">
    <w:name w:val="Block Text"/>
    <w:basedOn w:val="Normal"/>
    <w:uiPriority w:val="99"/>
    <w:semiHidden/>
    <w:unhideWhenUsed/>
    <w:rsid w:val="00A57748"/>
    <w:pPr>
      <w:pBdr>
        <w:top w:val="single" w:sz="2" w:space="10" w:color="92F105"/>
        <w:left w:val="single" w:sz="2" w:space="10" w:color="92F105"/>
        <w:bottom w:val="single" w:sz="2" w:space="10" w:color="92F105"/>
        <w:right w:val="single" w:sz="2" w:space="10" w:color="92F105"/>
      </w:pBdr>
      <w:ind w:left="1152" w:right="1152"/>
    </w:pPr>
    <w:rPr>
      <w:rFonts w:eastAsia="Times New Roman"/>
      <w:i/>
      <w:iCs/>
      <w:color w:val="92F105"/>
    </w:rPr>
  </w:style>
  <w:style w:type="paragraph" w:customStyle="1" w:styleId="AtchisonBodyText">
    <w:name w:val="Atchison Body Text"/>
    <w:basedOn w:val="Normal"/>
    <w:autoRedefine/>
    <w:rsid w:val="00CF6357"/>
    <w:pPr>
      <w:jc w:val="both"/>
    </w:pPr>
    <w:rPr>
      <w:bCs/>
      <w:noProof/>
      <w:color w:val="64777E"/>
    </w:rPr>
  </w:style>
  <w:style w:type="paragraph" w:customStyle="1" w:styleId="Atchison-Body-Header">
    <w:name w:val="Atchison - Body - Header"/>
    <w:basedOn w:val="AtchisonBodyText"/>
    <w:autoRedefine/>
    <w:rsid w:val="00A57748"/>
    <w:rPr>
      <w:b/>
      <w:color w:val="92F201"/>
      <w:sz w:val="24"/>
      <w:lang w:val="en-GB"/>
    </w:rPr>
  </w:style>
  <w:style w:type="paragraph" w:customStyle="1" w:styleId="Atchison-Header-Date">
    <w:name w:val="Atchison - Header - Date"/>
    <w:autoRedefine/>
    <w:rsid w:val="00A57748"/>
    <w:pPr>
      <w:widowControl w:val="0"/>
      <w:spacing w:after="120" w:line="276" w:lineRule="auto"/>
      <w:contextualSpacing/>
    </w:pPr>
    <w:rPr>
      <w:color w:val="FFFFFF"/>
      <w:sz w:val="18"/>
      <w:szCs w:val="22"/>
      <w:lang w:eastAsia="en-US"/>
    </w:rPr>
  </w:style>
  <w:style w:type="paragraph" w:customStyle="1" w:styleId="Atchison-Footer">
    <w:name w:val="Atchison-Footer"/>
    <w:link w:val="Atchison-FooterChar"/>
    <w:autoRedefine/>
    <w:rsid w:val="00A57748"/>
    <w:pPr>
      <w:spacing w:after="120" w:line="276" w:lineRule="auto"/>
    </w:pPr>
    <w:rPr>
      <w:color w:val="3B3838"/>
      <w:sz w:val="11"/>
      <w:szCs w:val="22"/>
      <w:lang w:eastAsia="en-US"/>
    </w:rPr>
  </w:style>
  <w:style w:type="character" w:customStyle="1" w:styleId="Atchison-FooterChar">
    <w:name w:val="Atchison-Footer Char"/>
    <w:link w:val="Atchison-Footer"/>
    <w:rsid w:val="00A57748"/>
    <w:rPr>
      <w:color w:val="3B3838"/>
      <w:sz w:val="11"/>
    </w:rPr>
  </w:style>
  <w:style w:type="paragraph" w:customStyle="1" w:styleId="Atchison-Contactdetails">
    <w:name w:val="Atchison-Contact details"/>
    <w:rsid w:val="00A57748"/>
    <w:pPr>
      <w:spacing w:after="120" w:line="276" w:lineRule="auto"/>
    </w:pPr>
    <w:rPr>
      <w:bCs/>
      <w:color w:val="FFFFFF"/>
      <w:sz w:val="18"/>
      <w:szCs w:val="22"/>
      <w:lang w:val="en-US" w:eastAsia="en-US"/>
    </w:rPr>
  </w:style>
  <w:style w:type="table" w:styleId="GridTable4-Accent5">
    <w:name w:val="Grid Table 4 Accent 5"/>
    <w:basedOn w:val="TableNormal"/>
    <w:uiPriority w:val="49"/>
    <w:rsid w:val="00A57748"/>
    <w:rPr>
      <w:color w:val="E7E6E6"/>
      <w:sz w:val="18"/>
    </w:rPr>
    <w:tblPr>
      <w:tblStyleRowBandSize w:val="1"/>
      <w:tblStyleColBandSize w:val="1"/>
      <w:tblBorders>
        <w:insideV w:val="single" w:sz="6" w:space="0" w:color="E7E6E6"/>
      </w:tblBorders>
    </w:tblPr>
    <w:tcPr>
      <w:shd w:val="clear" w:color="auto" w:fill="E7E6E6"/>
    </w:tcPr>
    <w:tblStylePr w:type="firstRow">
      <w:tblPr/>
      <w:tcPr>
        <w:shd w:val="clear" w:color="auto" w:fill="23575C"/>
      </w:tcPr>
    </w:tblStylePr>
    <w:tblStylePr w:type="lastRow">
      <w:rPr>
        <w:b/>
        <w:bCs/>
      </w:rPr>
      <w:tblPr/>
      <w:tcPr>
        <w:tcBorders>
          <w:top w:val="double" w:sz="4" w:space="0" w:color="1DC8F1"/>
        </w:tcBorders>
      </w:tcPr>
    </w:tblStylePr>
    <w:tblStylePr w:type="firstCol">
      <w:rPr>
        <w:b/>
        <w:bCs/>
      </w:rPr>
    </w:tblStylePr>
    <w:tblStylePr w:type="lastCol">
      <w:rPr>
        <w:b/>
        <w:bCs/>
      </w:rPr>
    </w:tblStylePr>
    <w:tblStylePr w:type="band1Vert">
      <w:tblPr/>
      <w:tcPr>
        <w:shd w:val="clear" w:color="auto" w:fill="E7E6E6"/>
      </w:tcPr>
    </w:tblStylePr>
    <w:tblStylePr w:type="band2Vert">
      <w:tblPr/>
      <w:tcPr>
        <w:shd w:val="clear" w:color="auto" w:fill="E7E6E6"/>
      </w:tcPr>
    </w:tblStylePr>
    <w:tblStylePr w:type="band1Horz">
      <w:rPr>
        <w:rFonts w:ascii="Arial" w:hAnsi="Arial"/>
        <w:b w:val="0"/>
        <w:i w:val="0"/>
        <w:color w:val="4A585E"/>
        <w:sz w:val="18"/>
      </w:rPr>
      <w:tblPr/>
      <w:tcPr>
        <w:shd w:val="clear" w:color="auto" w:fill="FDEFE2"/>
      </w:tcPr>
    </w:tblStylePr>
    <w:tblStylePr w:type="band2Horz">
      <w:tblPr/>
      <w:tcPr>
        <w:shd w:val="clear" w:color="auto" w:fill="E7E6E6"/>
      </w:tcPr>
    </w:tblStylePr>
    <w:tblStylePr w:type="nwCell">
      <w:rPr>
        <w:color w:val="E7E6E6"/>
      </w:rPr>
    </w:tblStylePr>
  </w:style>
  <w:style w:type="paragraph" w:styleId="ListParagraph">
    <w:name w:val="List Paragraph"/>
    <w:basedOn w:val="BasicParagraph"/>
    <w:uiPriority w:val="34"/>
    <w:qFormat/>
    <w:rsid w:val="00133452"/>
    <w:pPr>
      <w:contextualSpacing/>
    </w:pPr>
  </w:style>
  <w:style w:type="paragraph" w:styleId="Header">
    <w:name w:val="header"/>
    <w:basedOn w:val="Normal"/>
    <w:link w:val="HeaderChar"/>
    <w:uiPriority w:val="99"/>
    <w:unhideWhenUsed/>
    <w:rsid w:val="005F6BD8"/>
    <w:pPr>
      <w:tabs>
        <w:tab w:val="center" w:pos="4513"/>
        <w:tab w:val="right" w:pos="9026"/>
      </w:tabs>
    </w:pPr>
  </w:style>
  <w:style w:type="paragraph" w:styleId="NoSpacing">
    <w:name w:val="No Spacing"/>
    <w:link w:val="NoSpacingChar"/>
    <w:uiPriority w:val="1"/>
    <w:qFormat/>
    <w:rsid w:val="004505C2"/>
    <w:rPr>
      <w:sz w:val="22"/>
      <w:szCs w:val="22"/>
      <w:lang w:eastAsia="en-US"/>
    </w:rPr>
  </w:style>
  <w:style w:type="character" w:customStyle="1" w:styleId="NoSpacingChar">
    <w:name w:val="No Spacing Char"/>
    <w:basedOn w:val="DefaultParagraphFont"/>
    <w:link w:val="NoSpacing"/>
    <w:uiPriority w:val="1"/>
    <w:rsid w:val="004505C2"/>
  </w:style>
  <w:style w:type="numbering" w:customStyle="1" w:styleId="CurrentList1">
    <w:name w:val="Current List1"/>
    <w:uiPriority w:val="99"/>
    <w:rsid w:val="009A294C"/>
    <w:pPr>
      <w:numPr>
        <w:numId w:val="4"/>
      </w:numPr>
    </w:pPr>
  </w:style>
  <w:style w:type="numbering" w:customStyle="1" w:styleId="CurrentList2">
    <w:name w:val="Current List2"/>
    <w:uiPriority w:val="99"/>
    <w:rsid w:val="009A294C"/>
    <w:pPr>
      <w:numPr>
        <w:numId w:val="5"/>
      </w:numPr>
    </w:pPr>
  </w:style>
  <w:style w:type="character" w:customStyle="1" w:styleId="Heading1Char">
    <w:name w:val="Heading 1 Char"/>
    <w:aliases w:val="Heading 1 Char Char + Left Char,Left:  0 cm Char,First line:... Char"/>
    <w:link w:val="Heading1"/>
    <w:uiPriority w:val="9"/>
    <w:rsid w:val="00FF13A3"/>
    <w:rPr>
      <w:rFonts w:eastAsia="Times New Roman" w:cs="Times New Roman (Headings CS)"/>
      <w:b/>
      <w:bCs/>
      <w:color w:val="1C5F69"/>
      <w:sz w:val="34"/>
      <w:szCs w:val="28"/>
      <w:lang w:eastAsia="en-US"/>
    </w:rPr>
  </w:style>
  <w:style w:type="character" w:styleId="Hyperlink">
    <w:name w:val="Hyperlink"/>
    <w:uiPriority w:val="99"/>
    <w:unhideWhenUsed/>
    <w:rsid w:val="0025644B"/>
    <w:rPr>
      <w:color w:val="16A0C1"/>
      <w:u w:val="single"/>
    </w:rPr>
  </w:style>
  <w:style w:type="paragraph" w:customStyle="1" w:styleId="PersonalName">
    <w:name w:val="Personal Name"/>
    <w:basedOn w:val="Title"/>
    <w:qFormat/>
    <w:rsid w:val="004505C2"/>
    <w:rPr>
      <w:b/>
      <w:caps/>
      <w:color w:val="000000"/>
      <w:sz w:val="28"/>
      <w:szCs w:val="28"/>
    </w:rPr>
  </w:style>
  <w:style w:type="character" w:customStyle="1" w:styleId="Heading2Char">
    <w:name w:val="Heading 2 Char"/>
    <w:link w:val="Heading2"/>
    <w:uiPriority w:val="9"/>
    <w:rsid w:val="003B1B03"/>
    <w:rPr>
      <w:rFonts w:eastAsia="Times New Roman"/>
      <w:b/>
      <w:bCs/>
      <w:color w:val="1C5F69"/>
      <w:sz w:val="28"/>
      <w:szCs w:val="26"/>
      <w:lang w:eastAsia="en-US"/>
    </w:rPr>
  </w:style>
  <w:style w:type="character" w:customStyle="1" w:styleId="Heading3Char">
    <w:name w:val="Heading 3 Char"/>
    <w:aliases w:val="Level 1 - 1 Char"/>
    <w:link w:val="Heading3"/>
    <w:uiPriority w:val="9"/>
    <w:rsid w:val="00C31C53"/>
    <w:rPr>
      <w:rFonts w:eastAsia="Times New Roman"/>
      <w:b/>
      <w:bCs/>
      <w:color w:val="1C5F69"/>
      <w:szCs w:val="22"/>
      <w:lang w:eastAsia="en-US"/>
    </w:rPr>
  </w:style>
  <w:style w:type="character" w:customStyle="1" w:styleId="Heading4Char">
    <w:name w:val="Heading 4 Char"/>
    <w:link w:val="Heading4"/>
    <w:uiPriority w:val="9"/>
    <w:rsid w:val="004505C2"/>
    <w:rPr>
      <w:rFonts w:eastAsia="Times New Roman"/>
      <w:b/>
      <w:bCs/>
      <w:i/>
      <w:iCs/>
      <w:color w:val="000000"/>
      <w:sz w:val="24"/>
      <w:szCs w:val="22"/>
      <w:lang w:eastAsia="en-US"/>
    </w:rPr>
  </w:style>
  <w:style w:type="character" w:customStyle="1" w:styleId="Heading5Char">
    <w:name w:val="Heading 5 Char"/>
    <w:link w:val="Heading5"/>
    <w:uiPriority w:val="9"/>
    <w:semiHidden/>
    <w:rsid w:val="004505C2"/>
    <w:rPr>
      <w:rFonts w:eastAsia="Times New Roman"/>
      <w:color w:val="000000"/>
      <w:sz w:val="22"/>
      <w:szCs w:val="22"/>
      <w:lang w:eastAsia="en-US"/>
    </w:rPr>
  </w:style>
  <w:style w:type="character" w:customStyle="1" w:styleId="Heading6Char">
    <w:name w:val="Heading 6 Char"/>
    <w:link w:val="Heading6"/>
    <w:uiPriority w:val="9"/>
    <w:semiHidden/>
    <w:rsid w:val="004505C2"/>
    <w:rPr>
      <w:rFonts w:eastAsia="Times New Roman"/>
      <w:iCs/>
      <w:color w:val="92F105"/>
      <w:sz w:val="22"/>
      <w:szCs w:val="22"/>
      <w:lang w:eastAsia="en-US"/>
    </w:rPr>
  </w:style>
  <w:style w:type="character" w:customStyle="1" w:styleId="Heading7Char">
    <w:name w:val="Heading 7 Char"/>
    <w:link w:val="Heading7"/>
    <w:uiPriority w:val="9"/>
    <w:semiHidden/>
    <w:rsid w:val="004505C2"/>
    <w:rPr>
      <w:rFonts w:eastAsia="Times New Roman"/>
      <w:i/>
      <w:iCs/>
      <w:color w:val="000000"/>
      <w:sz w:val="22"/>
      <w:szCs w:val="22"/>
      <w:lang w:eastAsia="en-US"/>
    </w:rPr>
  </w:style>
  <w:style w:type="character" w:customStyle="1" w:styleId="Heading8Char">
    <w:name w:val="Heading 8 Char"/>
    <w:link w:val="Heading8"/>
    <w:uiPriority w:val="9"/>
    <w:semiHidden/>
    <w:rsid w:val="004505C2"/>
    <w:rPr>
      <w:rFonts w:eastAsia="Times New Roman"/>
      <w:color w:val="000000"/>
      <w:lang w:eastAsia="en-US"/>
    </w:rPr>
  </w:style>
  <w:style w:type="character" w:customStyle="1" w:styleId="Heading9Char">
    <w:name w:val="Heading 9 Char"/>
    <w:link w:val="Heading9"/>
    <w:uiPriority w:val="9"/>
    <w:semiHidden/>
    <w:rsid w:val="004505C2"/>
    <w:rPr>
      <w:rFonts w:eastAsia="Times New Roman"/>
      <w:i/>
      <w:iCs/>
      <w:color w:val="000000"/>
      <w:lang w:eastAsia="en-US"/>
    </w:rPr>
  </w:style>
  <w:style w:type="paragraph" w:styleId="Caption">
    <w:name w:val="caption"/>
    <w:basedOn w:val="Normal"/>
    <w:next w:val="Normal"/>
    <w:uiPriority w:val="35"/>
    <w:unhideWhenUsed/>
    <w:qFormat/>
    <w:rsid w:val="004505C2"/>
    <w:rPr>
      <w:rFonts w:eastAsia="Times New Roman"/>
      <w:bCs/>
      <w:smallCaps/>
      <w:color w:val="63777E"/>
      <w:spacing w:val="6"/>
      <w:sz w:val="22"/>
      <w:szCs w:val="18"/>
    </w:rPr>
  </w:style>
  <w:style w:type="paragraph" w:styleId="Subtitle">
    <w:name w:val="Subtitle"/>
    <w:aliases w:val="Norm No Spacing"/>
    <w:basedOn w:val="Normal"/>
    <w:next w:val="Normal"/>
    <w:link w:val="SubtitleChar"/>
    <w:uiPriority w:val="11"/>
    <w:qFormat/>
    <w:rsid w:val="0051469E"/>
    <w:pPr>
      <w:numPr>
        <w:ilvl w:val="1"/>
      </w:numPr>
    </w:pPr>
    <w:rPr>
      <w:rFonts w:eastAsia="Times New Roman" w:cs="Times New Roman"/>
      <w:iCs/>
      <w:color w:val="FFFFFF"/>
      <w:sz w:val="32"/>
      <w:szCs w:val="24"/>
    </w:rPr>
  </w:style>
  <w:style w:type="character" w:customStyle="1" w:styleId="SubtitleChar">
    <w:name w:val="Subtitle Char"/>
    <w:aliases w:val="Norm No Spacing Char"/>
    <w:link w:val="Subtitle"/>
    <w:uiPriority w:val="11"/>
    <w:rsid w:val="0051469E"/>
    <w:rPr>
      <w:rFonts w:eastAsia="Times New Roman"/>
      <w:iCs/>
      <w:color w:val="FFFFFF"/>
      <w:sz w:val="32"/>
      <w:szCs w:val="24"/>
      <w:lang w:eastAsia="en-US"/>
    </w:rPr>
  </w:style>
  <w:style w:type="character" w:styleId="Strong">
    <w:name w:val="Strong"/>
    <w:uiPriority w:val="22"/>
    <w:qFormat/>
    <w:rsid w:val="004505C2"/>
    <w:rPr>
      <w:b w:val="0"/>
      <w:bCs/>
      <w:i/>
      <w:color w:val="63777E"/>
    </w:rPr>
  </w:style>
  <w:style w:type="character" w:styleId="Emphasis">
    <w:name w:val="Emphasis"/>
    <w:uiPriority w:val="20"/>
    <w:qFormat/>
    <w:rsid w:val="004505C2"/>
    <w:rPr>
      <w:b/>
      <w:i/>
      <w:iCs/>
    </w:rPr>
  </w:style>
  <w:style w:type="paragraph" w:styleId="Quote">
    <w:name w:val="Quote"/>
    <w:basedOn w:val="Normal"/>
    <w:next w:val="Normal"/>
    <w:link w:val="QuoteChar"/>
    <w:uiPriority w:val="29"/>
    <w:qFormat/>
    <w:rsid w:val="004505C2"/>
    <w:pPr>
      <w:spacing w:line="360" w:lineRule="auto"/>
      <w:jc w:val="center"/>
    </w:pPr>
    <w:rPr>
      <w:rFonts w:eastAsia="Times New Roman"/>
      <w:b/>
      <w:i/>
      <w:iCs/>
      <w:color w:val="92F105"/>
      <w:sz w:val="26"/>
    </w:rPr>
  </w:style>
  <w:style w:type="character" w:customStyle="1" w:styleId="QuoteChar">
    <w:name w:val="Quote Char"/>
    <w:link w:val="Quote"/>
    <w:uiPriority w:val="29"/>
    <w:rsid w:val="004505C2"/>
    <w:rPr>
      <w:rFonts w:eastAsia="Times New Roman"/>
      <w:b/>
      <w:i/>
      <w:iCs/>
      <w:color w:val="92F105"/>
      <w:sz w:val="26"/>
    </w:rPr>
  </w:style>
  <w:style w:type="paragraph" w:styleId="IntenseQuote">
    <w:name w:val="Intense Quote"/>
    <w:basedOn w:val="Normal"/>
    <w:next w:val="Normal"/>
    <w:link w:val="IntenseQuoteChar"/>
    <w:uiPriority w:val="30"/>
    <w:qFormat/>
    <w:rsid w:val="004505C2"/>
    <w:pPr>
      <w:pBdr>
        <w:top w:val="single" w:sz="36" w:space="8" w:color="92F105"/>
        <w:left w:val="single" w:sz="36" w:space="8" w:color="92F105"/>
        <w:bottom w:val="single" w:sz="36" w:space="8" w:color="92F105"/>
        <w:right w:val="single" w:sz="36" w:space="8" w:color="92F105"/>
      </w:pBdr>
      <w:shd w:val="clear" w:color="auto" w:fill="92F105"/>
      <w:spacing w:before="200" w:after="200" w:line="360" w:lineRule="auto"/>
      <w:ind w:left="259" w:right="259"/>
      <w:jc w:val="center"/>
    </w:pPr>
    <w:rPr>
      <w:rFonts w:eastAsia="Times New Roman"/>
      <w:bCs/>
      <w:iCs/>
      <w:color w:val="FFFFFF"/>
      <w:sz w:val="28"/>
    </w:rPr>
  </w:style>
  <w:style w:type="character" w:customStyle="1" w:styleId="IntenseQuoteChar">
    <w:name w:val="Intense Quote Char"/>
    <w:link w:val="IntenseQuote"/>
    <w:uiPriority w:val="30"/>
    <w:rsid w:val="004505C2"/>
    <w:rPr>
      <w:rFonts w:ascii="Arial" w:eastAsia="Times New Roman" w:hAnsi="Arial"/>
      <w:bCs/>
      <w:iCs/>
      <w:color w:val="FFFFFF"/>
      <w:sz w:val="28"/>
      <w:shd w:val="clear" w:color="auto" w:fill="92F105"/>
    </w:rPr>
  </w:style>
  <w:style w:type="character" w:styleId="SubtleEmphasis">
    <w:name w:val="Subtle Emphasis"/>
    <w:uiPriority w:val="19"/>
    <w:qFormat/>
    <w:rsid w:val="004505C2"/>
    <w:rPr>
      <w:i/>
      <w:iCs/>
      <w:color w:val="000000"/>
    </w:rPr>
  </w:style>
  <w:style w:type="character" w:styleId="IntenseEmphasis">
    <w:name w:val="Intense Emphasis"/>
    <w:uiPriority w:val="21"/>
    <w:qFormat/>
    <w:rsid w:val="004505C2"/>
    <w:rPr>
      <w:b/>
      <w:bCs/>
      <w:i/>
      <w:iCs/>
      <w:color w:val="92F105"/>
    </w:rPr>
  </w:style>
  <w:style w:type="character" w:styleId="SubtleReference">
    <w:name w:val="Subtle Reference"/>
    <w:uiPriority w:val="31"/>
    <w:qFormat/>
    <w:rsid w:val="004505C2"/>
    <w:rPr>
      <w:smallCaps/>
      <w:color w:val="000000"/>
      <w:u w:val="single"/>
    </w:rPr>
  </w:style>
  <w:style w:type="character" w:styleId="IntenseReference">
    <w:name w:val="Intense Reference"/>
    <w:uiPriority w:val="32"/>
    <w:qFormat/>
    <w:rsid w:val="004505C2"/>
    <w:rPr>
      <w:b w:val="0"/>
      <w:bCs/>
      <w:smallCaps/>
      <w:color w:val="92F105"/>
      <w:spacing w:val="5"/>
      <w:u w:val="single"/>
    </w:rPr>
  </w:style>
  <w:style w:type="character" w:styleId="BookTitle">
    <w:name w:val="Book Title"/>
    <w:uiPriority w:val="33"/>
    <w:qFormat/>
    <w:rsid w:val="004505C2"/>
    <w:rPr>
      <w:b/>
      <w:bCs/>
      <w:caps/>
      <w:smallCaps w:val="0"/>
      <w:color w:val="63777E"/>
      <w:spacing w:val="10"/>
    </w:rPr>
  </w:style>
  <w:style w:type="numbering" w:customStyle="1" w:styleId="CurrentList3">
    <w:name w:val="Current List3"/>
    <w:uiPriority w:val="99"/>
    <w:rsid w:val="00133452"/>
    <w:pPr>
      <w:numPr>
        <w:numId w:val="6"/>
      </w:numPr>
    </w:pPr>
  </w:style>
  <w:style w:type="character" w:customStyle="1" w:styleId="HeaderChar">
    <w:name w:val="Header Char"/>
    <w:link w:val="Header"/>
    <w:uiPriority w:val="99"/>
    <w:rsid w:val="005F6BD8"/>
    <w:rPr>
      <w:rFonts w:cs="Times New Roman (Body CS)"/>
      <w:color w:val="4A585E"/>
      <w:szCs w:val="22"/>
      <w:lang w:eastAsia="en-US"/>
    </w:rPr>
  </w:style>
  <w:style w:type="paragraph" w:customStyle="1" w:styleId="Heading2-nonumbers">
    <w:name w:val="Heading 2 - no numbers"/>
    <w:basedOn w:val="Heading2"/>
    <w:qFormat/>
    <w:rsid w:val="00C31C53"/>
    <w:pPr>
      <w:numPr>
        <w:ilvl w:val="0"/>
        <w:numId w:val="0"/>
      </w:numPr>
    </w:pPr>
  </w:style>
  <w:style w:type="paragraph" w:customStyle="1" w:styleId="Heading10">
    <w:name w:val="Heading1"/>
    <w:basedOn w:val="Heading1"/>
    <w:qFormat/>
    <w:rsid w:val="008F3DAD"/>
    <w:pPr>
      <w:numPr>
        <w:numId w:val="0"/>
      </w:numPr>
      <w:spacing w:before="240" w:after="120"/>
    </w:pPr>
    <w:rPr>
      <w:color w:val="75C104"/>
    </w:rPr>
  </w:style>
  <w:style w:type="numbering" w:customStyle="1" w:styleId="CurrentList4">
    <w:name w:val="Current List4"/>
    <w:uiPriority w:val="99"/>
    <w:rsid w:val="005F6BD8"/>
    <w:pPr>
      <w:numPr>
        <w:numId w:val="7"/>
      </w:numPr>
    </w:pPr>
  </w:style>
  <w:style w:type="paragraph" w:customStyle="1" w:styleId="Heading3-nonumbers">
    <w:name w:val="Heading 3 - no numbers"/>
    <w:basedOn w:val="Heading3"/>
    <w:qFormat/>
    <w:rsid w:val="005F6BD8"/>
    <w:pPr>
      <w:numPr>
        <w:ilvl w:val="0"/>
        <w:numId w:val="0"/>
      </w:numPr>
      <w:spacing w:before="200"/>
    </w:pPr>
  </w:style>
  <w:style w:type="numbering" w:customStyle="1" w:styleId="CurrentList5">
    <w:name w:val="Current List5"/>
    <w:uiPriority w:val="99"/>
    <w:rsid w:val="005F6BD8"/>
    <w:pPr>
      <w:numPr>
        <w:numId w:val="8"/>
      </w:numPr>
    </w:pPr>
  </w:style>
  <w:style w:type="numbering" w:customStyle="1" w:styleId="AtchisonStyle">
    <w:name w:val="AtchisonStyle"/>
    <w:uiPriority w:val="99"/>
    <w:rsid w:val="000A6B34"/>
    <w:pPr>
      <w:numPr>
        <w:numId w:val="2"/>
      </w:numPr>
    </w:pPr>
  </w:style>
  <w:style w:type="table" w:styleId="GridTable4-Accent1">
    <w:name w:val="Grid Table 4 Accent 1"/>
    <w:aliases w:val="AtchisonTableFormat,Grid Table 4 - Accent 11"/>
    <w:basedOn w:val="LightList-Accent1"/>
    <w:uiPriority w:val="49"/>
    <w:rsid w:val="002001E8"/>
    <w:pPr>
      <w:jc w:val="center"/>
    </w:pPr>
    <w:tblPr/>
    <w:tcPr>
      <w:vAlign w:val="center"/>
    </w:tcPr>
    <w:tblStylePr w:type="firstRow">
      <w:pPr>
        <w:spacing w:before="0" w:after="0" w:line="240" w:lineRule="auto"/>
      </w:pPr>
      <w:rPr>
        <w:rFonts w:ascii="Calibri" w:hAnsi="Calibri"/>
        <w:b/>
        <w:bCs/>
        <w:color w:val="E7E6E6"/>
      </w:rPr>
      <w:tblPr/>
      <w:tcPr>
        <w:tcBorders>
          <w:top w:val="nil"/>
          <w:left w:val="nil"/>
          <w:bottom w:val="nil"/>
          <w:right w:val="nil"/>
          <w:insideH w:val="nil"/>
          <w:insideV w:val="nil"/>
          <w:tl2br w:val="nil"/>
          <w:tr2bl w:val="nil"/>
        </w:tcBorders>
        <w:shd w:val="clear" w:color="auto" w:fill="006699"/>
      </w:tcPr>
    </w:tblStylePr>
    <w:tblStylePr w:type="lastRow">
      <w:pPr>
        <w:spacing w:before="0" w:after="0" w:line="240" w:lineRule="auto"/>
        <w:jc w:val="center"/>
      </w:pPr>
      <w:rPr>
        <w:b/>
        <w:bCs/>
      </w:rPr>
      <w:tblPr/>
      <w:tcPr>
        <w:tcBorders>
          <w:top w:val="single" w:sz="6" w:space="0" w:color="auto"/>
          <w:left w:val="nil"/>
          <w:bottom w:val="nil"/>
          <w:right w:val="nil"/>
          <w:insideH w:val="nil"/>
          <w:insideV w:val="nil"/>
          <w:tl2br w:val="nil"/>
          <w:tr2bl w:val="nil"/>
        </w:tcBorders>
      </w:tcPr>
    </w:tblStylePr>
    <w:tblStylePr w:type="firstCol">
      <w:pPr>
        <w:jc w:val="left"/>
      </w:pPr>
      <w:rPr>
        <w:b/>
        <w:bCs/>
      </w:rPr>
      <w:tblPr/>
      <w:tcPr>
        <w:tcBorders>
          <w:top w:val="nil"/>
          <w:left w:val="nil"/>
          <w:bottom w:val="nil"/>
          <w:right w:val="nil"/>
          <w:insideH w:val="nil"/>
          <w:insideV w:val="nil"/>
          <w:tl2br w:val="nil"/>
          <w:tr2bl w:val="nil"/>
        </w:tcBorders>
      </w:tcPr>
    </w:tblStylePr>
    <w:tblStylePr w:type="lastCol">
      <w:rPr>
        <w:b w:val="0"/>
        <w:bCs/>
      </w:rPr>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pPr>
        <w:jc w:val="center"/>
      </w:pPr>
      <w:tblPr/>
      <w:tcPr>
        <w:tcBorders>
          <w:top w:val="nil"/>
          <w:left w:val="nil"/>
          <w:bottom w:val="nil"/>
          <w:right w:val="nil"/>
          <w:insideH w:val="nil"/>
          <w:insideV w:val="nil"/>
          <w:tl2br w:val="nil"/>
          <w:tr2bl w:val="nil"/>
        </w:tcBorders>
      </w:tcPr>
    </w:tblStylePr>
    <w:tblStylePr w:type="band2Horz">
      <w:pPr>
        <w:jc w:val="center"/>
      </w:pPr>
      <w:tblPr/>
      <w:tcPr>
        <w:tcBorders>
          <w:top w:val="nil"/>
          <w:left w:val="nil"/>
          <w:bottom w:val="nil"/>
          <w:right w:val="nil"/>
          <w:insideH w:val="nil"/>
          <w:insideV w:val="nil"/>
          <w:tl2br w:val="nil"/>
          <w:tr2bl w:val="nil"/>
        </w:tcBorders>
        <w:shd w:val="clear" w:color="auto" w:fill="CBE4ED"/>
      </w:tcPr>
    </w:tblStylePr>
    <w:tblStylePr w:type="nwCell">
      <w:pPr>
        <w:jc w:val="left"/>
      </w:pPr>
      <w:rPr>
        <w:color w:val="FFFFFF"/>
      </w:rPr>
    </w:tblStylePr>
    <w:tblStylePr w:type="swCell">
      <w:pPr>
        <w:jc w:val="left"/>
      </w:pPr>
    </w:tblStylePr>
  </w:style>
  <w:style w:type="table" w:styleId="LightList-Accent1">
    <w:name w:val="Light List Accent 1"/>
    <w:basedOn w:val="TableNormal"/>
    <w:uiPriority w:val="61"/>
    <w:semiHidden/>
    <w:unhideWhenUsed/>
    <w:rsid w:val="002001E8"/>
    <w:tblPr>
      <w:tblStyleRowBandSize w:val="1"/>
      <w:tblStyleColBandSize w:val="1"/>
      <w:tblBorders>
        <w:top w:val="single" w:sz="8" w:space="0" w:color="92F105"/>
        <w:left w:val="single" w:sz="8" w:space="0" w:color="92F105"/>
        <w:bottom w:val="single" w:sz="8" w:space="0" w:color="92F105"/>
        <w:right w:val="single" w:sz="8" w:space="0" w:color="92F105"/>
      </w:tblBorders>
    </w:tblPr>
    <w:tblStylePr w:type="firstRow">
      <w:pPr>
        <w:spacing w:before="0" w:after="0" w:line="240" w:lineRule="auto"/>
      </w:pPr>
      <w:rPr>
        <w:b/>
        <w:bCs/>
        <w:color w:val="FFFFFF"/>
      </w:rPr>
      <w:tblPr/>
      <w:tcPr>
        <w:shd w:val="clear" w:color="auto" w:fill="92F105"/>
      </w:tcPr>
    </w:tblStylePr>
    <w:tblStylePr w:type="lastRow">
      <w:pPr>
        <w:spacing w:before="0" w:after="0" w:line="240" w:lineRule="auto"/>
      </w:pPr>
      <w:rPr>
        <w:b/>
        <w:bCs/>
      </w:rPr>
      <w:tblPr/>
      <w:tcPr>
        <w:tcBorders>
          <w:top w:val="double" w:sz="6" w:space="0" w:color="92F105"/>
          <w:left w:val="single" w:sz="8" w:space="0" w:color="92F105"/>
          <w:bottom w:val="single" w:sz="8" w:space="0" w:color="92F105"/>
          <w:right w:val="single" w:sz="8" w:space="0" w:color="92F105"/>
        </w:tcBorders>
      </w:tcPr>
    </w:tblStylePr>
    <w:tblStylePr w:type="firstCol">
      <w:rPr>
        <w:b/>
        <w:bCs/>
      </w:rPr>
    </w:tblStylePr>
    <w:tblStylePr w:type="lastCol">
      <w:rPr>
        <w:b/>
        <w:bCs/>
      </w:rPr>
    </w:tblStylePr>
    <w:tblStylePr w:type="band1Vert">
      <w:tblPr/>
      <w:tcPr>
        <w:tcBorders>
          <w:top w:val="single" w:sz="8" w:space="0" w:color="92F105"/>
          <w:left w:val="single" w:sz="8" w:space="0" w:color="92F105"/>
          <w:bottom w:val="single" w:sz="8" w:space="0" w:color="92F105"/>
          <w:right w:val="single" w:sz="8" w:space="0" w:color="92F105"/>
        </w:tcBorders>
      </w:tcPr>
    </w:tblStylePr>
    <w:tblStylePr w:type="band1Horz">
      <w:tblPr/>
      <w:tcPr>
        <w:tcBorders>
          <w:top w:val="single" w:sz="8" w:space="0" w:color="92F105"/>
          <w:left w:val="single" w:sz="8" w:space="0" w:color="92F105"/>
          <w:bottom w:val="single" w:sz="8" w:space="0" w:color="92F105"/>
          <w:right w:val="single" w:sz="8" w:space="0" w:color="92F105"/>
        </w:tcBorders>
      </w:tcPr>
    </w:tblStylePr>
  </w:style>
  <w:style w:type="paragraph" w:customStyle="1" w:styleId="boldtext">
    <w:name w:val="bold text"/>
    <w:basedOn w:val="BasicParagraph"/>
    <w:qFormat/>
    <w:rsid w:val="005F6BD8"/>
    <w:pPr>
      <w:spacing w:before="100"/>
    </w:pPr>
    <w:rPr>
      <w:b/>
      <w:bCs/>
    </w:rPr>
  </w:style>
  <w:style w:type="numbering" w:customStyle="1" w:styleId="CurrentList6">
    <w:name w:val="Current List6"/>
    <w:uiPriority w:val="99"/>
    <w:rsid w:val="005F6BD8"/>
    <w:pPr>
      <w:numPr>
        <w:numId w:val="9"/>
      </w:numPr>
    </w:pPr>
  </w:style>
  <w:style w:type="paragraph" w:styleId="Footer">
    <w:name w:val="footer"/>
    <w:aliases w:val=" Char, Char Char Char Char Char Char Char Char Char, Char Char Char Char Char, Char Char Char Char Char Char Char Char, Char Char Char Char Char Char Char Char , Char Char Char Char Char Char Char"/>
    <w:basedOn w:val="Normal"/>
    <w:link w:val="FooterChar"/>
    <w:uiPriority w:val="99"/>
    <w:unhideWhenUsed/>
    <w:rsid w:val="007B4373"/>
    <w:pPr>
      <w:tabs>
        <w:tab w:val="center" w:pos="4513"/>
        <w:tab w:val="right" w:pos="9026"/>
      </w:tabs>
    </w:pPr>
  </w:style>
  <w:style w:type="character" w:customStyle="1" w:styleId="FooterChar">
    <w:name w:val="Footer Char"/>
    <w:aliases w:val=" Char Char, Char Char Char Char Char Char Char Char Char Char, Char Char Char Char Char Char, Char Char Char Char Char Char Char Char Char1, Char Char Char Char Char Char Char Char  Char, Char Char Char Char Char Char Char Char1"/>
    <w:link w:val="Footer"/>
    <w:uiPriority w:val="99"/>
    <w:rsid w:val="007B4373"/>
    <w:rPr>
      <w:rFonts w:cs="Times New Roman (Body CS)"/>
      <w:color w:val="4A585E"/>
      <w:sz w:val="20"/>
    </w:rPr>
  </w:style>
  <w:style w:type="character" w:styleId="PageNumber">
    <w:name w:val="page number"/>
    <w:basedOn w:val="DefaultParagraphFont"/>
    <w:unhideWhenUsed/>
    <w:rsid w:val="001D6606"/>
  </w:style>
  <w:style w:type="table" w:styleId="GridTable5Dark-Accent6">
    <w:name w:val="Grid Table 5 Dark Accent 6"/>
    <w:basedOn w:val="TableNormal"/>
    <w:uiPriority w:val="50"/>
    <w:rsid w:val="00D7643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5FDC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5C10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5C10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5C10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5C104"/>
      </w:tcPr>
    </w:tblStylePr>
    <w:tblStylePr w:type="band1Vert">
      <w:tblPr/>
      <w:tcPr>
        <w:shd w:val="clear" w:color="auto" w:fill="CBFC84"/>
      </w:tcPr>
    </w:tblStylePr>
    <w:tblStylePr w:type="band1Horz">
      <w:tblPr/>
      <w:tcPr>
        <w:shd w:val="clear" w:color="auto" w:fill="CBFC84"/>
      </w:tcPr>
    </w:tblStylePr>
  </w:style>
  <w:style w:type="table" w:styleId="ListTable4">
    <w:name w:val="List Table 4"/>
    <w:basedOn w:val="TableNormal"/>
    <w:uiPriority w:val="49"/>
    <w:rsid w:val="00D76439"/>
    <w:tblPr>
      <w:tblStyleRowBandSize w:val="1"/>
      <w:tblStyleColBandSize w:val="1"/>
      <w:tblBorders>
        <w:top w:val="single" w:sz="4" w:space="0" w:color="7D9DAB"/>
        <w:left w:val="single" w:sz="4" w:space="0" w:color="7D9DAB"/>
        <w:bottom w:val="single" w:sz="4" w:space="0" w:color="7D9DAB"/>
        <w:right w:val="single" w:sz="4" w:space="0" w:color="7D9DAB"/>
        <w:insideH w:val="single" w:sz="4" w:space="0" w:color="7D9DAB"/>
      </w:tblBorders>
    </w:tblPr>
    <w:tblStylePr w:type="firstRow">
      <w:rPr>
        <w:b/>
        <w:bCs/>
        <w:color w:val="FFFFFF"/>
      </w:rPr>
      <w:tblPr/>
      <w:tcPr>
        <w:tcBorders>
          <w:top w:val="single" w:sz="4" w:space="0" w:color="3D545E"/>
          <w:left w:val="single" w:sz="4" w:space="0" w:color="3D545E"/>
          <w:bottom w:val="single" w:sz="4" w:space="0" w:color="3D545E"/>
          <w:right w:val="single" w:sz="4" w:space="0" w:color="3D545E"/>
          <w:insideH w:val="nil"/>
        </w:tcBorders>
        <w:shd w:val="clear" w:color="auto" w:fill="3D545E"/>
      </w:tcPr>
    </w:tblStylePr>
    <w:tblStylePr w:type="lastRow">
      <w:rPr>
        <w:b/>
        <w:bCs/>
      </w:rPr>
      <w:tblPr/>
      <w:tcPr>
        <w:tcBorders>
          <w:top w:val="double" w:sz="4" w:space="0" w:color="7D9DAB"/>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table" w:styleId="GridTable5Dark">
    <w:name w:val="Grid Table 5 Dark"/>
    <w:basedOn w:val="TableNormal"/>
    <w:uiPriority w:val="50"/>
    <w:rsid w:val="00BF2265"/>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3DEE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3D545E"/>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3D545E"/>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3D545E"/>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3D545E"/>
      </w:tcPr>
    </w:tblStylePr>
    <w:tblStylePr w:type="band1Vert">
      <w:tblPr/>
      <w:tcPr>
        <w:shd w:val="clear" w:color="auto" w:fill="A8BDC7"/>
      </w:tcPr>
    </w:tblStylePr>
    <w:tblStylePr w:type="band1Horz">
      <w:tblPr/>
      <w:tcPr>
        <w:shd w:val="clear" w:color="auto" w:fill="A8BDC7"/>
      </w:tcPr>
    </w:tblStylePr>
  </w:style>
  <w:style w:type="table" w:styleId="GridTable4">
    <w:name w:val="Grid Table 4"/>
    <w:basedOn w:val="TableNormal"/>
    <w:uiPriority w:val="49"/>
    <w:rsid w:val="00BF2265"/>
    <w:tblPr>
      <w:tblStyleRowBandSize w:val="1"/>
      <w:tblStyleColBandSize w:val="1"/>
      <w:tblBorders>
        <w:top w:val="single" w:sz="4" w:space="0" w:color="7D9DAB"/>
        <w:left w:val="single" w:sz="4" w:space="0" w:color="7D9DAB"/>
        <w:bottom w:val="single" w:sz="4" w:space="0" w:color="7D9DAB"/>
        <w:right w:val="single" w:sz="4" w:space="0" w:color="7D9DAB"/>
        <w:insideH w:val="single" w:sz="4" w:space="0" w:color="7D9DAB"/>
        <w:insideV w:val="single" w:sz="4" w:space="0" w:color="7D9DAB"/>
      </w:tblBorders>
    </w:tblPr>
    <w:tblStylePr w:type="firstRow">
      <w:rPr>
        <w:b/>
        <w:bCs/>
        <w:color w:val="FFFFFF"/>
      </w:rPr>
      <w:tblPr/>
      <w:tcPr>
        <w:tcBorders>
          <w:top w:val="single" w:sz="4" w:space="0" w:color="3D545E"/>
          <w:left w:val="single" w:sz="4" w:space="0" w:color="3D545E"/>
          <w:bottom w:val="single" w:sz="4" w:space="0" w:color="3D545E"/>
          <w:right w:val="single" w:sz="4" w:space="0" w:color="3D545E"/>
          <w:insideH w:val="nil"/>
          <w:insideV w:val="nil"/>
        </w:tcBorders>
        <w:shd w:val="clear" w:color="auto" w:fill="3D545E"/>
      </w:tcPr>
    </w:tblStylePr>
    <w:tblStylePr w:type="lastRow">
      <w:rPr>
        <w:b/>
        <w:bCs/>
      </w:rPr>
      <w:tblPr/>
      <w:tcPr>
        <w:tcBorders>
          <w:top w:val="double" w:sz="4" w:space="0" w:color="3D545E"/>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paragraph" w:customStyle="1" w:styleId="BasicParagraph">
    <w:name w:val="[Basic Paragraph]"/>
    <w:basedOn w:val="Normal"/>
    <w:uiPriority w:val="99"/>
    <w:qFormat/>
    <w:rsid w:val="005F6BD8"/>
    <w:pPr>
      <w:autoSpaceDE w:val="0"/>
      <w:autoSpaceDN w:val="0"/>
      <w:adjustRightInd w:val="0"/>
      <w:spacing w:after="100"/>
      <w:textAlignment w:val="center"/>
    </w:pPr>
    <w:rPr>
      <w:rFonts w:cs="Minion Pro"/>
      <w:color w:val="64777E"/>
      <w:szCs w:val="24"/>
      <w:lang w:val="en-US"/>
    </w:rPr>
  </w:style>
  <w:style w:type="table" w:customStyle="1" w:styleId="ListTable3-Accent11">
    <w:name w:val="List Table 3 - Accent 11"/>
    <w:basedOn w:val="TableNormal"/>
    <w:next w:val="ListTable3-Accent1"/>
    <w:uiPriority w:val="48"/>
    <w:rsid w:val="00B55051"/>
    <w:rPr>
      <w:rFonts w:ascii="Calibri" w:eastAsia="Calibri" w:hAnsi="Calibri"/>
      <w:sz w:val="22"/>
      <w:szCs w:val="22"/>
      <w:lang w:eastAsia="en-US"/>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styleId="ListTable3-Accent1">
    <w:name w:val="List Table 3 Accent 1"/>
    <w:basedOn w:val="TableNormal"/>
    <w:uiPriority w:val="48"/>
    <w:rsid w:val="00B55051"/>
    <w:tblPr>
      <w:tblStyleRowBandSize w:val="1"/>
      <w:tblStyleColBandSize w:val="1"/>
      <w:tblBorders>
        <w:top w:val="single" w:sz="4" w:space="0" w:color="92F105" w:themeColor="accent1"/>
        <w:left w:val="single" w:sz="4" w:space="0" w:color="92F105" w:themeColor="accent1"/>
        <w:bottom w:val="single" w:sz="4" w:space="0" w:color="92F105" w:themeColor="accent1"/>
        <w:right w:val="single" w:sz="4" w:space="0" w:color="92F105" w:themeColor="accent1"/>
      </w:tblBorders>
    </w:tblPr>
    <w:tblStylePr w:type="firstRow">
      <w:rPr>
        <w:b/>
        <w:bCs/>
        <w:color w:val="FFFFFF" w:themeColor="background1"/>
      </w:rPr>
      <w:tblPr/>
      <w:tcPr>
        <w:shd w:val="clear" w:color="auto" w:fill="92F105" w:themeFill="accent1"/>
      </w:tcPr>
    </w:tblStylePr>
    <w:tblStylePr w:type="lastRow">
      <w:rPr>
        <w:b/>
        <w:bCs/>
      </w:rPr>
      <w:tblPr/>
      <w:tcPr>
        <w:tcBorders>
          <w:top w:val="double" w:sz="4" w:space="0" w:color="92F10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2F105" w:themeColor="accent1"/>
          <w:right w:val="single" w:sz="4" w:space="0" w:color="92F105" w:themeColor="accent1"/>
        </w:tcBorders>
      </w:tcPr>
    </w:tblStylePr>
    <w:tblStylePr w:type="band1Horz">
      <w:tblPr/>
      <w:tcPr>
        <w:tcBorders>
          <w:top w:val="single" w:sz="4" w:space="0" w:color="92F105" w:themeColor="accent1"/>
          <w:bottom w:val="single" w:sz="4" w:space="0" w:color="92F10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2F105" w:themeColor="accent1"/>
          <w:left w:val="nil"/>
        </w:tcBorders>
      </w:tcPr>
    </w:tblStylePr>
    <w:tblStylePr w:type="swCell">
      <w:tblPr/>
      <w:tcPr>
        <w:tcBorders>
          <w:top w:val="double" w:sz="4" w:space="0" w:color="92F105" w:themeColor="accent1"/>
          <w:right w:val="nil"/>
        </w:tcBorders>
      </w:tcPr>
    </w:tblStylePr>
  </w:style>
  <w:style w:type="paragraph" w:styleId="TOCHeading">
    <w:name w:val="TOC Heading"/>
    <w:basedOn w:val="Heading1"/>
    <w:next w:val="Normal"/>
    <w:uiPriority w:val="39"/>
    <w:unhideWhenUsed/>
    <w:qFormat/>
    <w:rsid w:val="001D529D"/>
    <w:pPr>
      <w:numPr>
        <w:numId w:val="0"/>
      </w:numPr>
      <w:spacing w:before="240" w:after="0" w:line="259" w:lineRule="auto"/>
      <w:outlineLvl w:val="9"/>
    </w:pPr>
    <w:rPr>
      <w:rFonts w:asciiTheme="majorHAnsi" w:eastAsiaTheme="majorEastAsia" w:hAnsiTheme="majorHAnsi" w:cstheme="majorBidi"/>
      <w:bCs w:val="0"/>
      <w:color w:val="6CB403" w:themeColor="accent1" w:themeShade="BF"/>
      <w:sz w:val="32"/>
      <w:szCs w:val="32"/>
      <w:lang w:val="en-US"/>
    </w:rPr>
  </w:style>
  <w:style w:type="paragraph" w:styleId="TOC1">
    <w:name w:val="toc 1"/>
    <w:basedOn w:val="Normal"/>
    <w:next w:val="Normal"/>
    <w:autoRedefine/>
    <w:uiPriority w:val="39"/>
    <w:unhideWhenUsed/>
    <w:rsid w:val="001D529D"/>
    <w:pPr>
      <w:tabs>
        <w:tab w:val="left" w:pos="440"/>
        <w:tab w:val="right" w:leader="dot" w:pos="9628"/>
      </w:tabs>
      <w:spacing w:after="100"/>
    </w:pPr>
    <w:rPr>
      <w:rFonts w:asciiTheme="minorHAnsi" w:eastAsiaTheme="minorHAnsi" w:hAnsiTheme="minorHAnsi" w:cstheme="minorBidi"/>
      <w:b/>
      <w:noProof/>
      <w:color w:val="608493" w:themeColor="text1" w:themeTint="BF"/>
      <w:sz w:val="22"/>
    </w:rPr>
  </w:style>
  <w:style w:type="paragraph" w:customStyle="1" w:styleId="HeaderOddPage">
    <w:name w:val="Header Odd Page"/>
    <w:unhideWhenUsed/>
    <w:rsid w:val="002669A4"/>
    <w:pPr>
      <w:pBdr>
        <w:bottom w:val="single" w:sz="18" w:space="3" w:color="C0C0C0"/>
      </w:pBdr>
      <w:tabs>
        <w:tab w:val="right" w:pos="9214"/>
      </w:tabs>
      <w:spacing w:before="240"/>
    </w:pPr>
    <w:rPr>
      <w:rFonts w:eastAsia="Times New Roman" w:cs="Arial"/>
      <w:bCs/>
      <w:sz w:val="18"/>
      <w:szCs w:val="18"/>
      <w:lang w:eastAsia="en-AU"/>
    </w:rPr>
  </w:style>
  <w:style w:type="table" w:styleId="TableGrid">
    <w:name w:val="Table Grid"/>
    <w:basedOn w:val="TableNormal"/>
    <w:uiPriority w:val="59"/>
    <w:unhideWhenUsed/>
    <w:rsid w:val="002669A4"/>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11">
    <w:name w:val="Grid Table 1 Light - Accent 11"/>
    <w:basedOn w:val="TableNormal"/>
    <w:uiPriority w:val="46"/>
    <w:rsid w:val="002669A4"/>
    <w:rPr>
      <w:rFonts w:asciiTheme="minorHAnsi" w:eastAsiaTheme="minorHAnsi" w:hAnsiTheme="minorHAnsi" w:cstheme="minorBidi"/>
      <w:sz w:val="22"/>
      <w:szCs w:val="22"/>
      <w:lang w:eastAsia="en-US"/>
    </w:rPr>
    <w:tblPr>
      <w:tblStyleRowBandSize w:val="1"/>
      <w:tblStyleColBandSize w:val="1"/>
      <w:tblBorders>
        <w:top w:val="single" w:sz="4" w:space="0" w:color="D3FC97" w:themeColor="accent1" w:themeTint="66"/>
        <w:left w:val="single" w:sz="4" w:space="0" w:color="D3FC97" w:themeColor="accent1" w:themeTint="66"/>
        <w:bottom w:val="single" w:sz="4" w:space="0" w:color="D3FC97" w:themeColor="accent1" w:themeTint="66"/>
        <w:right w:val="single" w:sz="4" w:space="0" w:color="D3FC97" w:themeColor="accent1" w:themeTint="66"/>
        <w:insideH w:val="single" w:sz="4" w:space="0" w:color="D3FC97" w:themeColor="accent1" w:themeTint="66"/>
        <w:insideV w:val="single" w:sz="4" w:space="0" w:color="D3FC97" w:themeColor="accent1" w:themeTint="66"/>
      </w:tblBorders>
    </w:tblPr>
    <w:tblStylePr w:type="firstRow">
      <w:rPr>
        <w:b/>
        <w:bCs/>
      </w:rPr>
      <w:tblPr/>
      <w:tcPr>
        <w:tcBorders>
          <w:bottom w:val="single" w:sz="12" w:space="0" w:color="BEFB63" w:themeColor="accent1" w:themeTint="99"/>
        </w:tcBorders>
      </w:tcPr>
    </w:tblStylePr>
    <w:tblStylePr w:type="lastRow">
      <w:rPr>
        <w:b/>
        <w:bCs/>
      </w:rPr>
      <w:tblPr/>
      <w:tcPr>
        <w:tcBorders>
          <w:top w:val="double" w:sz="2" w:space="0" w:color="BEFB63" w:themeColor="accent1" w:themeTint="99"/>
        </w:tcBorders>
      </w:tcPr>
    </w:tblStylePr>
    <w:tblStylePr w:type="firstCol">
      <w:rPr>
        <w:b/>
        <w:bCs/>
      </w:rPr>
    </w:tblStylePr>
    <w:tblStylePr w:type="lastCol">
      <w:rPr>
        <w:b/>
        <w:bCs/>
      </w:rPr>
    </w:tblStylePr>
  </w:style>
  <w:style w:type="paragraph" w:styleId="TOC2">
    <w:name w:val="toc 2"/>
    <w:basedOn w:val="Normal"/>
    <w:next w:val="Normal"/>
    <w:autoRedefine/>
    <w:uiPriority w:val="39"/>
    <w:unhideWhenUsed/>
    <w:qFormat/>
    <w:rsid w:val="002669A4"/>
    <w:pPr>
      <w:spacing w:after="100"/>
      <w:ind w:left="220"/>
    </w:pPr>
    <w:rPr>
      <w:rFonts w:asciiTheme="minorHAnsi" w:eastAsiaTheme="minorHAnsi" w:hAnsiTheme="minorHAnsi" w:cstheme="minorBidi"/>
      <w:color w:val="608493" w:themeColor="text1" w:themeTint="BF"/>
      <w:sz w:val="22"/>
    </w:rPr>
  </w:style>
  <w:style w:type="paragraph" w:styleId="TOC3">
    <w:name w:val="toc 3"/>
    <w:basedOn w:val="Normal"/>
    <w:next w:val="Normal"/>
    <w:autoRedefine/>
    <w:uiPriority w:val="39"/>
    <w:unhideWhenUsed/>
    <w:rsid w:val="002669A4"/>
    <w:pPr>
      <w:spacing w:after="100"/>
      <w:ind w:left="440"/>
    </w:pPr>
    <w:rPr>
      <w:rFonts w:asciiTheme="minorHAnsi" w:eastAsiaTheme="minorHAnsi" w:hAnsiTheme="minorHAnsi" w:cstheme="minorBidi"/>
      <w:color w:val="608493" w:themeColor="text1" w:themeTint="BF"/>
      <w:sz w:val="22"/>
    </w:rPr>
  </w:style>
  <w:style w:type="paragraph" w:styleId="BalloonText">
    <w:name w:val="Balloon Text"/>
    <w:basedOn w:val="Normal"/>
    <w:link w:val="BalloonTextChar"/>
    <w:uiPriority w:val="99"/>
    <w:semiHidden/>
    <w:unhideWhenUsed/>
    <w:rsid w:val="002669A4"/>
    <w:rPr>
      <w:rFonts w:ascii="Segoe UI" w:eastAsiaTheme="minorHAnsi" w:hAnsi="Segoe UI" w:cs="Segoe UI"/>
      <w:color w:val="608493" w:themeColor="text1" w:themeTint="BF"/>
      <w:sz w:val="18"/>
      <w:szCs w:val="18"/>
    </w:rPr>
  </w:style>
  <w:style w:type="character" w:customStyle="1" w:styleId="BalloonTextChar">
    <w:name w:val="Balloon Text Char"/>
    <w:basedOn w:val="DefaultParagraphFont"/>
    <w:link w:val="BalloonText"/>
    <w:uiPriority w:val="99"/>
    <w:semiHidden/>
    <w:rsid w:val="002669A4"/>
    <w:rPr>
      <w:rFonts w:ascii="Segoe UI" w:eastAsiaTheme="minorHAnsi" w:hAnsi="Segoe UI" w:cs="Segoe UI"/>
      <w:color w:val="608493" w:themeColor="text1" w:themeTint="BF"/>
      <w:sz w:val="18"/>
      <w:szCs w:val="18"/>
      <w:lang w:eastAsia="en-US"/>
    </w:rPr>
  </w:style>
  <w:style w:type="character" w:styleId="PlaceholderText">
    <w:name w:val="Placeholder Text"/>
    <w:basedOn w:val="DefaultParagraphFont"/>
    <w:uiPriority w:val="99"/>
    <w:semiHidden/>
    <w:rsid w:val="002669A4"/>
    <w:rPr>
      <w:color w:val="808080"/>
    </w:rPr>
  </w:style>
  <w:style w:type="paragraph" w:styleId="FootnoteText">
    <w:name w:val="footnote text"/>
    <w:basedOn w:val="Normal"/>
    <w:link w:val="FootnoteTextChar"/>
    <w:uiPriority w:val="99"/>
    <w:semiHidden/>
    <w:unhideWhenUsed/>
    <w:rsid w:val="002669A4"/>
    <w:rPr>
      <w:rFonts w:asciiTheme="minorHAnsi" w:eastAsiaTheme="minorHAnsi" w:hAnsiTheme="minorHAnsi" w:cstheme="minorBidi"/>
      <w:color w:val="608493" w:themeColor="text1" w:themeTint="BF"/>
      <w:szCs w:val="20"/>
    </w:rPr>
  </w:style>
  <w:style w:type="character" w:customStyle="1" w:styleId="FootnoteTextChar">
    <w:name w:val="Footnote Text Char"/>
    <w:basedOn w:val="DefaultParagraphFont"/>
    <w:link w:val="FootnoteText"/>
    <w:uiPriority w:val="99"/>
    <w:semiHidden/>
    <w:rsid w:val="002669A4"/>
    <w:rPr>
      <w:rFonts w:asciiTheme="minorHAnsi" w:eastAsiaTheme="minorHAnsi" w:hAnsiTheme="minorHAnsi" w:cstheme="minorBidi"/>
      <w:color w:val="608493" w:themeColor="text1" w:themeTint="BF"/>
      <w:lang w:eastAsia="en-US"/>
    </w:rPr>
  </w:style>
  <w:style w:type="character" w:styleId="FootnoteReference">
    <w:name w:val="footnote reference"/>
    <w:basedOn w:val="DefaultParagraphFont"/>
    <w:uiPriority w:val="99"/>
    <w:semiHidden/>
    <w:unhideWhenUsed/>
    <w:rsid w:val="002669A4"/>
    <w:rPr>
      <w:vertAlign w:val="superscript"/>
    </w:rPr>
  </w:style>
  <w:style w:type="paragraph" w:customStyle="1" w:styleId="Default">
    <w:name w:val="Default"/>
    <w:rsid w:val="002669A4"/>
    <w:pPr>
      <w:autoSpaceDE w:val="0"/>
      <w:autoSpaceDN w:val="0"/>
      <w:adjustRightInd w:val="0"/>
    </w:pPr>
    <w:rPr>
      <w:rFonts w:ascii="Times New Roman" w:eastAsia="MS Mincho" w:hAnsi="Times New Roman"/>
      <w:color w:val="000000"/>
      <w:sz w:val="24"/>
      <w:szCs w:val="24"/>
      <w:lang w:eastAsia="en-AU"/>
    </w:rPr>
  </w:style>
  <w:style w:type="character" w:styleId="CommentReference">
    <w:name w:val="annotation reference"/>
    <w:basedOn w:val="DefaultParagraphFont"/>
    <w:uiPriority w:val="99"/>
    <w:semiHidden/>
    <w:unhideWhenUsed/>
    <w:rsid w:val="002669A4"/>
    <w:rPr>
      <w:sz w:val="16"/>
      <w:szCs w:val="16"/>
    </w:rPr>
  </w:style>
  <w:style w:type="paragraph" w:styleId="CommentText">
    <w:name w:val="annotation text"/>
    <w:basedOn w:val="Normal"/>
    <w:link w:val="CommentTextChar"/>
    <w:uiPriority w:val="99"/>
    <w:semiHidden/>
    <w:unhideWhenUsed/>
    <w:rsid w:val="002669A4"/>
    <w:pPr>
      <w:spacing w:after="200"/>
    </w:pPr>
    <w:rPr>
      <w:rFonts w:asciiTheme="minorHAnsi" w:eastAsiaTheme="minorHAnsi" w:hAnsiTheme="minorHAnsi" w:cstheme="minorBidi"/>
      <w:color w:val="608493" w:themeColor="text1" w:themeTint="BF"/>
      <w:szCs w:val="20"/>
    </w:rPr>
  </w:style>
  <w:style w:type="character" w:customStyle="1" w:styleId="CommentTextChar">
    <w:name w:val="Comment Text Char"/>
    <w:basedOn w:val="DefaultParagraphFont"/>
    <w:link w:val="CommentText"/>
    <w:uiPriority w:val="99"/>
    <w:semiHidden/>
    <w:rsid w:val="002669A4"/>
    <w:rPr>
      <w:rFonts w:asciiTheme="minorHAnsi" w:eastAsiaTheme="minorHAnsi" w:hAnsiTheme="minorHAnsi" w:cstheme="minorBidi"/>
      <w:color w:val="608493" w:themeColor="text1" w:themeTint="BF"/>
      <w:lang w:eastAsia="en-US"/>
    </w:rPr>
  </w:style>
  <w:style w:type="paragraph" w:styleId="CommentSubject">
    <w:name w:val="annotation subject"/>
    <w:basedOn w:val="CommentText"/>
    <w:next w:val="CommentText"/>
    <w:link w:val="CommentSubjectChar"/>
    <w:uiPriority w:val="99"/>
    <w:semiHidden/>
    <w:unhideWhenUsed/>
    <w:rsid w:val="002669A4"/>
    <w:rPr>
      <w:b/>
      <w:bCs/>
    </w:rPr>
  </w:style>
  <w:style w:type="character" w:customStyle="1" w:styleId="CommentSubjectChar">
    <w:name w:val="Comment Subject Char"/>
    <w:basedOn w:val="CommentTextChar"/>
    <w:link w:val="CommentSubject"/>
    <w:uiPriority w:val="99"/>
    <w:semiHidden/>
    <w:rsid w:val="002669A4"/>
    <w:rPr>
      <w:rFonts w:asciiTheme="minorHAnsi" w:eastAsiaTheme="minorHAnsi" w:hAnsiTheme="minorHAnsi" w:cstheme="minorBidi"/>
      <w:b/>
      <w:bCs/>
      <w:color w:val="608493" w:themeColor="text1" w:themeTint="BF"/>
      <w:lang w:eastAsia="en-US"/>
    </w:rPr>
  </w:style>
  <w:style w:type="table" w:styleId="TableWeb2">
    <w:name w:val="Table Web 2"/>
    <w:basedOn w:val="TableNormal"/>
    <w:uiPriority w:val="99"/>
    <w:rsid w:val="002669A4"/>
    <w:pPr>
      <w:spacing w:after="200" w:line="276" w:lineRule="auto"/>
    </w:pPr>
    <w:rPr>
      <w:rFonts w:asciiTheme="minorHAnsi" w:eastAsiaTheme="minorHAnsi" w:hAnsiTheme="minorHAnsi" w:cstheme="minorBidi"/>
      <w:sz w:val="22"/>
      <w:szCs w:val="22"/>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GridTable5Dark-Accent31">
    <w:name w:val="Grid Table 5 Dark - Accent 31"/>
    <w:basedOn w:val="TableNormal"/>
    <w:uiPriority w:val="50"/>
    <w:rsid w:val="002669A4"/>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AEB"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999D"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999D"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999D"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999D" w:themeFill="accent3"/>
      </w:tcPr>
    </w:tblStylePr>
    <w:tblStylePr w:type="band1Vert">
      <w:tblPr/>
      <w:tcPr>
        <w:shd w:val="clear" w:color="auto" w:fill="D0D6D7" w:themeFill="accent3" w:themeFillTint="66"/>
      </w:tcPr>
    </w:tblStylePr>
    <w:tblStylePr w:type="band1Horz">
      <w:tblPr/>
      <w:tcPr>
        <w:shd w:val="clear" w:color="auto" w:fill="D0D6D7" w:themeFill="accent3" w:themeFillTint="66"/>
      </w:tcPr>
    </w:tblStylePr>
  </w:style>
  <w:style w:type="table" w:customStyle="1" w:styleId="GridTable5Dark-Accent32">
    <w:name w:val="Grid Table 5 Dark - Accent 32"/>
    <w:basedOn w:val="TableNormal"/>
    <w:uiPriority w:val="50"/>
    <w:rsid w:val="002669A4"/>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AEB"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999D"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999D"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999D"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999D" w:themeFill="accent3"/>
      </w:tcPr>
    </w:tblStylePr>
    <w:tblStylePr w:type="band1Vert">
      <w:tblPr/>
      <w:tcPr>
        <w:shd w:val="clear" w:color="auto" w:fill="D0D6D7" w:themeFill="accent3" w:themeFillTint="66"/>
      </w:tcPr>
    </w:tblStylePr>
    <w:tblStylePr w:type="band1Horz">
      <w:tblPr/>
      <w:tcPr>
        <w:shd w:val="clear" w:color="auto" w:fill="D0D6D7" w:themeFill="accent3" w:themeFillTint="66"/>
      </w:tcPr>
    </w:tblStylePr>
  </w:style>
  <w:style w:type="paragraph" w:styleId="Revision">
    <w:name w:val="Revision"/>
    <w:hidden/>
    <w:uiPriority w:val="99"/>
    <w:semiHidden/>
    <w:rsid w:val="002669A4"/>
    <w:rPr>
      <w:rFonts w:asciiTheme="minorHAnsi" w:eastAsiaTheme="minorHAnsi" w:hAnsiTheme="minorHAnsi" w:cstheme="minorBidi"/>
      <w:color w:val="608493" w:themeColor="text1" w:themeTint="BF"/>
      <w:sz w:val="22"/>
      <w:szCs w:val="22"/>
      <w:lang w:eastAsia="en-US"/>
    </w:rPr>
  </w:style>
  <w:style w:type="character" w:styleId="UnresolvedMention">
    <w:name w:val="Unresolved Mention"/>
    <w:basedOn w:val="DefaultParagraphFont"/>
    <w:uiPriority w:val="99"/>
    <w:semiHidden/>
    <w:unhideWhenUsed/>
    <w:rsid w:val="00AE1753"/>
    <w:rPr>
      <w:color w:val="605E5C"/>
      <w:shd w:val="clear" w:color="auto" w:fill="E1DFDD"/>
    </w:rPr>
  </w:style>
  <w:style w:type="paragraph" w:customStyle="1" w:styleId="Introductionparagraph">
    <w:name w:val="Introduction paragraph"/>
    <w:basedOn w:val="BasicParagraph"/>
    <w:qFormat/>
    <w:rsid w:val="00C61941"/>
    <w:pPr>
      <w:snapToGrid w:val="0"/>
      <w:spacing w:after="120"/>
    </w:pPr>
    <w:rPr>
      <w:bCs/>
      <w:iCs/>
      <w:sz w:val="24"/>
      <w:szCs w:val="16"/>
      <w:lang w:val="en-GB"/>
    </w:rPr>
  </w:style>
  <w:style w:type="paragraph" w:customStyle="1" w:styleId="Table1">
    <w:name w:val="Table1"/>
    <w:basedOn w:val="Normal"/>
    <w:link w:val="Table1Char"/>
    <w:qFormat/>
    <w:rsid w:val="004404AE"/>
    <w:rPr>
      <w:szCs w:val="20"/>
    </w:rPr>
  </w:style>
  <w:style w:type="character" w:customStyle="1" w:styleId="Table1Char">
    <w:name w:val="Table1 Char"/>
    <w:basedOn w:val="DefaultParagraphFont"/>
    <w:link w:val="Table1"/>
    <w:rsid w:val="004404AE"/>
    <w:rPr>
      <w:rFonts w:cs="Times New Roman (Body CS)"/>
      <w:color w:val="4A585E"/>
      <w:lang w:eastAsia="en-US"/>
    </w:rPr>
  </w:style>
  <w:style w:type="table" w:customStyle="1" w:styleId="AtchisonTable1">
    <w:name w:val="AtchisonTable1"/>
    <w:basedOn w:val="TableNormal"/>
    <w:uiPriority w:val="99"/>
    <w:rsid w:val="003D68AD"/>
    <w:pPr>
      <w:jc w:val="center"/>
    </w:pPr>
    <w:rPr>
      <w:color w:val="1C5F69"/>
      <w:sz w:val="18"/>
    </w:rPr>
    <w:tblPr>
      <w:tblBorders>
        <w:bottom w:val="single" w:sz="4" w:space="0" w:color="8A999D" w:themeColor="accent3"/>
        <w:insideH w:val="single" w:sz="4" w:space="0" w:color="8A999D" w:themeColor="accent3"/>
      </w:tblBorders>
    </w:tblPr>
    <w:tcPr>
      <w:vAlign w:val="center"/>
    </w:tcPr>
    <w:tblStylePr w:type="firstRow">
      <w:pPr>
        <w:jc w:val="center"/>
      </w:pPr>
      <w:rPr>
        <w:rFonts w:ascii="Arial" w:hAnsi="Arial"/>
        <w:b/>
        <w:color w:val="FFFFFF" w:themeColor="background1"/>
        <w:sz w:val="18"/>
      </w:rPr>
      <w:tblPr/>
      <w:tcPr>
        <w:shd w:val="clear" w:color="auto" w:fill="63777E"/>
      </w:tcPr>
    </w:tblStylePr>
    <w:tblStylePr w:type="lastRow">
      <w:rPr>
        <w:rFonts w:ascii="Arial" w:hAnsi="Arial"/>
        <w:sz w:val="18"/>
      </w:rPr>
    </w:tblStylePr>
    <w:tblStylePr w:type="firstCol">
      <w:pPr>
        <w:jc w:val="left"/>
      </w:pPr>
      <w:rPr>
        <w:color w:val="64777E"/>
      </w:rPr>
      <w:tblPr/>
      <w:tcPr>
        <w:shd w:val="clear" w:color="auto" w:fill="F1FDE0"/>
      </w:tcPr>
    </w:tblStylePr>
  </w:style>
  <w:style w:type="table" w:styleId="TableGridLight">
    <w:name w:val="Grid Table Light"/>
    <w:basedOn w:val="TableNormal"/>
    <w:uiPriority w:val="40"/>
    <w:rsid w:val="00CC25E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NewAtchison">
    <w:name w:val="New Atchison"/>
    <w:basedOn w:val="TableNormal"/>
    <w:uiPriority w:val="99"/>
    <w:rsid w:val="003A75A7"/>
    <w:tblPr/>
  </w:style>
  <w:style w:type="table" w:customStyle="1" w:styleId="Style2">
    <w:name w:val="Style2"/>
    <w:basedOn w:val="NewAtchison"/>
    <w:uiPriority w:val="99"/>
    <w:rsid w:val="004E523F"/>
    <w:tblPr/>
  </w:style>
  <w:style w:type="table" w:customStyle="1" w:styleId="Atchison2">
    <w:name w:val="Atchison 2"/>
    <w:basedOn w:val="TableNormal"/>
    <w:uiPriority w:val="99"/>
    <w:rsid w:val="00825259"/>
    <w:tblPr/>
  </w:style>
  <w:style w:type="table" w:customStyle="1" w:styleId="Style4">
    <w:name w:val="Style4"/>
    <w:basedOn w:val="TableNormal"/>
    <w:uiPriority w:val="99"/>
    <w:rsid w:val="00825259"/>
    <w:tblPr/>
  </w:style>
  <w:style w:type="paragraph" w:customStyle="1" w:styleId="BodyStyle">
    <w:name w:val="BodyStyle"/>
    <w:basedOn w:val="Normal"/>
    <w:link w:val="BodyStyleChar"/>
    <w:qFormat/>
    <w:rsid w:val="00DD739B"/>
    <w:pPr>
      <w:spacing w:after="120" w:line="360" w:lineRule="auto"/>
    </w:pPr>
    <w:rPr>
      <w:color w:val="1C5F69"/>
      <w:sz w:val="18"/>
      <w:szCs w:val="32"/>
    </w:rPr>
  </w:style>
  <w:style w:type="character" w:customStyle="1" w:styleId="BodyStyleChar">
    <w:name w:val="BodyStyle Char"/>
    <w:basedOn w:val="DefaultParagraphFont"/>
    <w:link w:val="BodyStyle"/>
    <w:rsid w:val="00DD739B"/>
    <w:rPr>
      <w:rFonts w:cs="Times New Roman (Body CS)"/>
      <w:color w:val="1C5F69"/>
      <w:sz w:val="18"/>
      <w:szCs w:val="32"/>
      <w:lang w:eastAsia="en-US"/>
    </w:rPr>
  </w:style>
  <w:style w:type="paragraph" w:customStyle="1" w:styleId="Heading30">
    <w:name w:val="Heading3"/>
    <w:basedOn w:val="Normal"/>
    <w:link w:val="Heading3Char0"/>
    <w:qFormat/>
    <w:rsid w:val="00800868"/>
    <w:pPr>
      <w:spacing w:before="240"/>
    </w:pPr>
    <w:rPr>
      <w:b/>
      <w:i/>
      <w:color w:val="75C104" w:themeColor="accent6"/>
      <w:sz w:val="18"/>
    </w:rPr>
  </w:style>
  <w:style w:type="character" w:customStyle="1" w:styleId="Heading3Char0">
    <w:name w:val="Heading3 Char"/>
    <w:basedOn w:val="DefaultParagraphFont"/>
    <w:link w:val="Heading30"/>
    <w:rsid w:val="00800868"/>
    <w:rPr>
      <w:rFonts w:cs="Times New Roman (Body CS)"/>
      <w:b/>
      <w:i/>
      <w:color w:val="75C104" w:themeColor="accent6"/>
      <w:sz w:val="18"/>
      <w:szCs w:val="22"/>
      <w:lang w:eastAsia="en-US"/>
    </w:rPr>
  </w:style>
  <w:style w:type="paragraph" w:customStyle="1" w:styleId="Mark1">
    <w:name w:val="Mark1"/>
    <w:link w:val="Mark1Char"/>
    <w:qFormat/>
    <w:rsid w:val="008855EA"/>
    <w:pPr>
      <w:shd w:val="clear" w:color="auto" w:fill="F1FDE0"/>
    </w:pPr>
    <w:rPr>
      <w:rFonts w:cs="Times New Roman (Body CS)"/>
      <w:b/>
      <w:color w:val="76C204"/>
      <w:sz w:val="18"/>
      <w:szCs w:val="32"/>
      <w:lang w:eastAsia="en-US"/>
    </w:rPr>
  </w:style>
  <w:style w:type="character" w:customStyle="1" w:styleId="Mark1Char">
    <w:name w:val="Mark1 Char"/>
    <w:basedOn w:val="DefaultParagraphFont"/>
    <w:link w:val="Mark1"/>
    <w:rsid w:val="008855EA"/>
    <w:rPr>
      <w:rFonts w:cs="Times New Roman (Body CS)"/>
      <w:b/>
      <w:color w:val="76C204"/>
      <w:sz w:val="18"/>
      <w:szCs w:val="32"/>
      <w:shd w:val="clear" w:color="auto" w:fill="F1FDE0"/>
      <w:lang w:eastAsia="en-US"/>
    </w:rPr>
  </w:style>
  <w:style w:type="paragraph" w:customStyle="1" w:styleId="Mark2">
    <w:name w:val="Mark2"/>
    <w:basedOn w:val="Mark1"/>
    <w:link w:val="Mark2Char"/>
    <w:qFormat/>
    <w:rsid w:val="00FB356D"/>
    <w:pPr>
      <w:shd w:val="clear" w:color="auto" w:fill="FFCDCD"/>
    </w:pPr>
    <w:rPr>
      <w:color w:val="C00000"/>
    </w:rPr>
  </w:style>
  <w:style w:type="character" w:customStyle="1" w:styleId="Mark2Char">
    <w:name w:val="Mark2 Char"/>
    <w:basedOn w:val="Mark1Char"/>
    <w:link w:val="Mark2"/>
    <w:rsid w:val="00FB356D"/>
    <w:rPr>
      <w:rFonts w:cs="Times New Roman (Body CS)"/>
      <w:b/>
      <w:color w:val="C00000"/>
      <w:sz w:val="18"/>
      <w:szCs w:val="32"/>
      <w:shd w:val="clear" w:color="auto" w:fill="FFCDCD"/>
      <w:lang w:eastAsia="en-US"/>
    </w:rPr>
  </w:style>
  <w:style w:type="paragraph" w:customStyle="1" w:styleId="Note">
    <w:name w:val="Note"/>
    <w:basedOn w:val="Normal"/>
    <w:link w:val="NoteChar"/>
    <w:qFormat/>
    <w:rsid w:val="00EC148D"/>
    <w:rPr>
      <w:i/>
      <w:color w:val="1C5F69"/>
      <w:sz w:val="16"/>
    </w:rPr>
  </w:style>
  <w:style w:type="character" w:customStyle="1" w:styleId="NoteChar">
    <w:name w:val="Note Char"/>
    <w:basedOn w:val="DefaultParagraphFont"/>
    <w:link w:val="Note"/>
    <w:rsid w:val="00EC148D"/>
    <w:rPr>
      <w:rFonts w:cs="Times New Roman (Body CS)"/>
      <w:i/>
      <w:color w:val="1C5F69"/>
      <w:sz w:val="16"/>
      <w:szCs w:val="22"/>
      <w:lang w:eastAsia="en-US"/>
    </w:rPr>
  </w:style>
  <w:style w:type="paragraph" w:customStyle="1" w:styleId="listnumber0">
    <w:name w:val="list_number"/>
    <w:basedOn w:val="ListNumber"/>
    <w:next w:val="Normal"/>
    <w:link w:val="listnumberChar"/>
    <w:qFormat/>
    <w:rsid w:val="00C31C53"/>
    <w:rPr>
      <w:color w:val="1C5F69"/>
      <w:sz w:val="18"/>
    </w:rPr>
  </w:style>
  <w:style w:type="character" w:customStyle="1" w:styleId="listnumberChar">
    <w:name w:val="list_number Char"/>
    <w:basedOn w:val="DefaultParagraphFont"/>
    <w:link w:val="listnumber0"/>
    <w:rsid w:val="00C31C53"/>
    <w:rPr>
      <w:rFonts w:cs="Times New Roman (Body CS)"/>
      <w:color w:val="1C5F69"/>
      <w:sz w:val="18"/>
      <w:szCs w:val="22"/>
      <w:lang w:eastAsia="en-US"/>
    </w:rPr>
  </w:style>
  <w:style w:type="paragraph" w:customStyle="1" w:styleId="listbullet0">
    <w:name w:val="list_bullet"/>
    <w:basedOn w:val="ListBullet"/>
    <w:next w:val="Normal"/>
    <w:link w:val="listbulletChar"/>
    <w:qFormat/>
    <w:rsid w:val="00C31C53"/>
    <w:pPr>
      <w:numPr>
        <w:numId w:val="50"/>
      </w:numPr>
      <w:spacing w:line="360" w:lineRule="auto"/>
      <w:ind w:left="714" w:hanging="357"/>
    </w:pPr>
    <w:rPr>
      <w:color w:val="1C5F69"/>
      <w:sz w:val="18"/>
    </w:rPr>
  </w:style>
  <w:style w:type="paragraph" w:styleId="ListBullet">
    <w:name w:val="List Bullet"/>
    <w:basedOn w:val="Normal"/>
    <w:link w:val="ListBulletChar0"/>
    <w:uiPriority w:val="99"/>
    <w:semiHidden/>
    <w:unhideWhenUsed/>
    <w:rsid w:val="000E6D21"/>
    <w:pPr>
      <w:numPr>
        <w:numId w:val="47"/>
      </w:numPr>
      <w:contextualSpacing/>
    </w:pPr>
  </w:style>
  <w:style w:type="character" w:customStyle="1" w:styleId="ListBulletChar0">
    <w:name w:val="List Bullet Char"/>
    <w:basedOn w:val="DefaultParagraphFont"/>
    <w:link w:val="ListBullet"/>
    <w:uiPriority w:val="99"/>
    <w:semiHidden/>
    <w:rsid w:val="000E6D21"/>
    <w:rPr>
      <w:rFonts w:cs="Times New Roman (Body CS)"/>
      <w:szCs w:val="22"/>
      <w:lang w:eastAsia="en-US"/>
    </w:rPr>
  </w:style>
  <w:style w:type="character" w:customStyle="1" w:styleId="listbulletChar">
    <w:name w:val="list_bullet Char"/>
    <w:basedOn w:val="ListBulletChar0"/>
    <w:link w:val="listbullet0"/>
    <w:rsid w:val="00C31C53"/>
    <w:rPr>
      <w:rFonts w:cs="Times New Roman (Body CS)"/>
      <w:color w:val="1C5F69"/>
      <w:sz w:val="18"/>
      <w:szCs w:val="22"/>
      <w:lang w:eastAsia="en-US"/>
    </w:rPr>
  </w:style>
  <w:style w:type="paragraph" w:styleId="ListNumber">
    <w:name w:val="List Number"/>
    <w:basedOn w:val="Normal"/>
    <w:uiPriority w:val="99"/>
    <w:semiHidden/>
    <w:unhideWhenUsed/>
    <w:rsid w:val="000E6D21"/>
    <w:pPr>
      <w:numPr>
        <w:numId w:val="49"/>
      </w:numPr>
      <w:contextualSpacing/>
    </w:pPr>
  </w:style>
  <w:style w:type="paragraph" w:customStyle="1" w:styleId="BoldBody">
    <w:name w:val="BoldBody"/>
    <w:basedOn w:val="BodyStyle"/>
    <w:next w:val="BodyStyle"/>
    <w:link w:val="BoldBodyChar"/>
    <w:qFormat/>
    <w:rsid w:val="00C31C53"/>
    <w:rPr>
      <w:b/>
      <w:sz w:val="20"/>
    </w:rPr>
  </w:style>
  <w:style w:type="character" w:customStyle="1" w:styleId="BoldBodyChar">
    <w:name w:val="BoldBody Char"/>
    <w:basedOn w:val="listbulletChar"/>
    <w:link w:val="BoldBody"/>
    <w:rsid w:val="00C31C53"/>
    <w:rPr>
      <w:rFonts w:cs="Times New Roman (Body CS)"/>
      <w:b/>
      <w:color w:val="1C5F69"/>
      <w:sz w:val="18"/>
      <w:szCs w:val="32"/>
      <w:lang w:eastAsia="en-US"/>
    </w:rPr>
  </w:style>
  <w:style w:type="paragraph" w:customStyle="1" w:styleId="listnumberbold">
    <w:name w:val="list_number_bold"/>
    <w:basedOn w:val="listnumber0"/>
    <w:link w:val="listnumberboldChar"/>
    <w:qFormat/>
    <w:rsid w:val="000D6FA5"/>
    <w:rPr>
      <w:b/>
    </w:rPr>
  </w:style>
  <w:style w:type="character" w:customStyle="1" w:styleId="listnumberboldChar">
    <w:name w:val="list_number_bold Char"/>
    <w:basedOn w:val="listnumberChar"/>
    <w:link w:val="listnumberbold"/>
    <w:rsid w:val="000D6FA5"/>
    <w:rPr>
      <w:rFonts w:cs="Times New Roman (Body CS)"/>
      <w:b/>
      <w:color w:val="63777E"/>
      <w:sz w:val="18"/>
      <w:szCs w:val="22"/>
      <w:lang w:eastAsia="en-US"/>
    </w:rPr>
  </w:style>
  <w:style w:type="table" w:customStyle="1" w:styleId="AtchisonTableFormat1">
    <w:name w:val="AtchisonTableFormat1"/>
    <w:basedOn w:val="LightList-Accent1"/>
    <w:next w:val="GridTable4-Accent1"/>
    <w:uiPriority w:val="49"/>
    <w:rsid w:val="008B1956"/>
    <w:pPr>
      <w:jc w:val="center"/>
    </w:pPr>
    <w:rPr>
      <w:rFonts w:asciiTheme="minorHAnsi" w:eastAsiaTheme="minorHAnsi" w:hAnsiTheme="minorHAnsi" w:cstheme="minorBidi"/>
      <w:sz w:val="22"/>
      <w:szCs w:val="22"/>
      <w:lang w:eastAsia="en-US"/>
    </w:rPr>
    <w:tblPr>
      <w:tblBorders>
        <w:top w:val="single" w:sz="8" w:space="0" w:color="92F105" w:themeColor="accent1"/>
        <w:left w:val="single" w:sz="8" w:space="0" w:color="92F105" w:themeColor="accent1"/>
        <w:bottom w:val="single" w:sz="8" w:space="0" w:color="92F105" w:themeColor="accent1"/>
        <w:right w:val="single" w:sz="8" w:space="0" w:color="92F105" w:themeColor="accent1"/>
      </w:tblBorders>
    </w:tblPr>
    <w:tcPr>
      <w:vAlign w:val="center"/>
    </w:tcPr>
    <w:tblStylePr w:type="firstRow">
      <w:pPr>
        <w:spacing w:before="0" w:after="0" w:line="240" w:lineRule="auto"/>
      </w:pPr>
      <w:rPr>
        <w:rFonts w:ascii="Calibri" w:hAnsi="Calibri"/>
        <w:b/>
        <w:bCs/>
        <w:color w:val="E7E6E6" w:themeColor="background2"/>
      </w:rPr>
      <w:tblPr/>
      <w:tcPr>
        <w:tcBorders>
          <w:top w:val="nil"/>
          <w:left w:val="nil"/>
          <w:bottom w:val="nil"/>
          <w:right w:val="nil"/>
          <w:insideH w:val="nil"/>
          <w:insideV w:val="nil"/>
          <w:tl2br w:val="nil"/>
          <w:tr2bl w:val="nil"/>
        </w:tcBorders>
        <w:shd w:val="clear" w:color="auto" w:fill="006699"/>
      </w:tcPr>
    </w:tblStylePr>
    <w:tblStylePr w:type="lastRow">
      <w:pPr>
        <w:spacing w:before="0" w:after="0" w:line="240" w:lineRule="auto"/>
        <w:jc w:val="center"/>
      </w:pPr>
      <w:rPr>
        <w:b/>
        <w:bCs/>
      </w:rPr>
      <w:tblPr/>
      <w:tcPr>
        <w:tcBorders>
          <w:top w:val="single" w:sz="6" w:space="0" w:color="auto"/>
          <w:left w:val="nil"/>
          <w:bottom w:val="nil"/>
          <w:right w:val="nil"/>
          <w:insideH w:val="nil"/>
          <w:insideV w:val="nil"/>
          <w:tl2br w:val="nil"/>
          <w:tr2bl w:val="nil"/>
        </w:tcBorders>
      </w:tcPr>
    </w:tblStylePr>
    <w:tblStylePr w:type="firstCol">
      <w:pPr>
        <w:jc w:val="left"/>
      </w:pPr>
      <w:rPr>
        <w:b/>
        <w:bCs/>
      </w:rPr>
      <w:tblPr/>
      <w:tcPr>
        <w:tcBorders>
          <w:top w:val="nil"/>
          <w:left w:val="nil"/>
          <w:bottom w:val="nil"/>
          <w:right w:val="nil"/>
          <w:insideH w:val="nil"/>
          <w:insideV w:val="nil"/>
          <w:tl2br w:val="nil"/>
          <w:tr2bl w:val="nil"/>
        </w:tcBorders>
      </w:tcPr>
    </w:tblStylePr>
    <w:tblStylePr w:type="lastCol">
      <w:rPr>
        <w:b w:val="0"/>
        <w:bCs/>
      </w:rPr>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pPr>
        <w:jc w:val="center"/>
      </w:pPr>
      <w:tblPr/>
      <w:tcPr>
        <w:tcBorders>
          <w:top w:val="nil"/>
          <w:left w:val="nil"/>
          <w:bottom w:val="nil"/>
          <w:right w:val="nil"/>
          <w:insideH w:val="nil"/>
          <w:insideV w:val="nil"/>
          <w:tl2br w:val="nil"/>
          <w:tr2bl w:val="nil"/>
        </w:tcBorders>
      </w:tcPr>
    </w:tblStylePr>
    <w:tblStylePr w:type="band2Horz">
      <w:pPr>
        <w:jc w:val="center"/>
      </w:pPr>
      <w:tblPr/>
      <w:tcPr>
        <w:tcBorders>
          <w:top w:val="nil"/>
          <w:left w:val="nil"/>
          <w:bottom w:val="nil"/>
          <w:right w:val="nil"/>
          <w:insideH w:val="nil"/>
          <w:insideV w:val="nil"/>
          <w:tl2br w:val="nil"/>
          <w:tr2bl w:val="nil"/>
        </w:tcBorders>
        <w:shd w:val="clear" w:color="auto" w:fill="CBE4ED"/>
      </w:tcPr>
    </w:tblStylePr>
    <w:tblStylePr w:type="nwCell">
      <w:pPr>
        <w:jc w:val="left"/>
      </w:pPr>
      <w:rPr>
        <w:color w:val="FFFFFF" w:themeColor="background1"/>
      </w:rPr>
    </w:tblStylePr>
    <w:tblStylePr w:type="swCell">
      <w:pPr>
        <w:jc w:val="left"/>
      </w:pPr>
    </w:tblStylePr>
  </w:style>
  <w:style w:type="table" w:customStyle="1" w:styleId="Table3">
    <w:name w:val="Table3"/>
    <w:basedOn w:val="TableNormal"/>
    <w:uiPriority w:val="99"/>
    <w:rsid w:val="005E760E"/>
    <w:pPr>
      <w:jc w:val="center"/>
    </w:pPr>
    <w:rPr>
      <w:color w:val="3D545E" w:themeColor="text1"/>
      <w:sz w:val="18"/>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vAlign w:val="center"/>
    </w:tcPr>
    <w:tblStylePr w:type="firstRow">
      <w:pPr>
        <w:jc w:val="center"/>
      </w:pPr>
      <w:rPr>
        <w:rFonts w:ascii="Arial" w:hAnsi="Arial"/>
        <w:b/>
        <w:color w:val="FFFFFF" w:themeColor="background1"/>
        <w:sz w:val="18"/>
      </w:rPr>
      <w:tblPr/>
      <w:tcPr>
        <w:shd w:val="clear" w:color="auto" w:fill="3D555E"/>
      </w:tcPr>
    </w:tblStylePr>
    <w:tblStylePr w:type="band1Vert">
      <w:pPr>
        <w:jc w:val="center"/>
      </w:pPr>
      <w:rPr>
        <w:rFonts w:ascii="Arial" w:hAnsi="Arial"/>
        <w:b/>
        <w:color w:val="3D545E" w:themeColor="text1"/>
        <w:sz w:val="18"/>
      </w:rPr>
      <w:tblPr/>
      <w:tcPr>
        <w:shd w:val="clear" w:color="auto" w:fill="92F105"/>
        <w:vAlign w:val="center"/>
      </w:tcPr>
    </w:tblStylePr>
    <w:tblStylePr w:type="band2Vert">
      <w:pPr>
        <w:jc w:val="center"/>
      </w:pPr>
      <w:rPr>
        <w:rFonts w:ascii="Arial" w:hAnsi="Arial"/>
        <w:b/>
        <w:color w:val="3D545E" w:themeColor="text1"/>
        <w:sz w:val="18"/>
      </w:rPr>
      <w:tblPr/>
      <w:tcPr>
        <w:shd w:val="clear" w:color="auto" w:fill="FF0000"/>
        <w:vAlign w:val="center"/>
      </w:tcPr>
    </w:tblStylePr>
  </w:style>
  <w:style w:type="table" w:customStyle="1" w:styleId="TableSP">
    <w:name w:val="TableSP"/>
    <w:basedOn w:val="ListTable4"/>
    <w:uiPriority w:val="99"/>
    <w:rsid w:val="005E760E"/>
    <w:pPr>
      <w:jc w:val="center"/>
    </w:pPr>
    <w:rPr>
      <w:b/>
      <w:color w:val="3D545E" w:themeColor="text1"/>
      <w:sz w:val="18"/>
    </w:rPr>
    <w:tblPr/>
    <w:tcPr>
      <w:vAlign w:val="center"/>
    </w:tcPr>
    <w:tblStylePr w:type="firstRow">
      <w:pPr>
        <w:jc w:val="center"/>
      </w:pPr>
      <w:rPr>
        <w:b/>
        <w:bCs/>
        <w:color w:val="FFFFFF"/>
      </w:rPr>
      <w:tblPr/>
      <w:tcPr>
        <w:tcBorders>
          <w:top w:val="single" w:sz="4" w:space="0" w:color="3D545E"/>
          <w:left w:val="single" w:sz="4" w:space="0" w:color="3D545E"/>
          <w:bottom w:val="single" w:sz="4" w:space="0" w:color="3D545E"/>
          <w:right w:val="single" w:sz="4" w:space="0" w:color="3D545E"/>
          <w:insideH w:val="nil"/>
        </w:tcBorders>
        <w:shd w:val="clear" w:color="auto" w:fill="3D545E" w:themeFill="text1"/>
      </w:tcPr>
    </w:tblStylePr>
    <w:tblStylePr w:type="lastRow">
      <w:rPr>
        <w:b/>
        <w:bCs/>
      </w:rPr>
      <w:tblPr/>
      <w:tcPr>
        <w:tcBorders>
          <w:top w:val="double" w:sz="4" w:space="0" w:color="7D9DAB"/>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table" w:customStyle="1" w:styleId="TableSP2">
    <w:name w:val="TableSP2"/>
    <w:basedOn w:val="TableNormal"/>
    <w:uiPriority w:val="99"/>
    <w:rsid w:val="005E760E"/>
    <w:tblPr/>
    <w:tblStylePr w:type="firstRow">
      <w:pPr>
        <w:jc w:val="center"/>
      </w:pPr>
      <w:rPr>
        <w:color w:val="FFFFFF" w:themeColor="background1"/>
      </w:rPr>
      <w:tblPr/>
      <w:tcPr>
        <w:shd w:val="clear" w:color="auto" w:fill="3D545E" w:themeFill="text1"/>
        <w:vAlign w:val="center"/>
      </w:tcPr>
    </w:tblStylePr>
  </w:style>
  <w:style w:type="paragraph" w:customStyle="1" w:styleId="Ending">
    <w:name w:val="Ending"/>
    <w:basedOn w:val="Normal"/>
    <w:link w:val="EndingChar"/>
    <w:qFormat/>
    <w:rsid w:val="00884731"/>
    <w:pPr>
      <w:spacing w:line="360" w:lineRule="auto"/>
    </w:pPr>
    <w:rPr>
      <w:color w:val="FFFFFF" w:themeColor="background1"/>
      <w:sz w:val="16"/>
    </w:rPr>
  </w:style>
  <w:style w:type="character" w:customStyle="1" w:styleId="EndingChar">
    <w:name w:val="Ending Char"/>
    <w:basedOn w:val="DefaultParagraphFont"/>
    <w:link w:val="Ending"/>
    <w:rsid w:val="00884731"/>
    <w:rPr>
      <w:rFonts w:cs="Times New Roman (Body CS)"/>
      <w:color w:val="FFFFFF" w:themeColor="background1"/>
      <w:sz w:val="16"/>
      <w:szCs w:val="22"/>
      <w:lang w:eastAsia="en-US"/>
    </w:rPr>
  </w:style>
  <w:style w:type="paragraph" w:customStyle="1" w:styleId="NormalGreen">
    <w:name w:val="NormalGreen"/>
    <w:basedOn w:val="Ending"/>
    <w:link w:val="NormalGreenChar"/>
    <w:qFormat/>
    <w:rsid w:val="00744F32"/>
    <w:rPr>
      <w:b/>
      <w:color w:val="1C5F69"/>
      <w:sz w:val="18"/>
    </w:rPr>
  </w:style>
  <w:style w:type="character" w:customStyle="1" w:styleId="NormalGreenChar">
    <w:name w:val="NormalGreen Char"/>
    <w:basedOn w:val="EndingChar"/>
    <w:link w:val="NormalGreen"/>
    <w:rsid w:val="00744F32"/>
    <w:rPr>
      <w:rFonts w:cs="Times New Roman (Body CS)"/>
      <w:b/>
      <w:color w:val="1C5F69"/>
      <w:sz w:val="18"/>
      <w:szCs w:val="22"/>
      <w:lang w:eastAsia="en-US"/>
    </w:rPr>
  </w:style>
  <w:style w:type="paragraph" w:customStyle="1" w:styleId="BoldEnding">
    <w:name w:val="BoldEnding"/>
    <w:basedOn w:val="BodyStyle"/>
    <w:link w:val="BoldEndingChar"/>
    <w:qFormat/>
    <w:rsid w:val="005D6C2C"/>
    <w:rPr>
      <w:b/>
      <w:color w:val="FFFFFF" w:themeColor="background1"/>
      <w:sz w:val="20"/>
    </w:rPr>
  </w:style>
  <w:style w:type="character" w:customStyle="1" w:styleId="BoldEndingChar">
    <w:name w:val="BoldEnding Char"/>
    <w:basedOn w:val="BodyStyleChar"/>
    <w:link w:val="BoldEnding"/>
    <w:rsid w:val="005D6C2C"/>
    <w:rPr>
      <w:rFonts w:cs="Times New Roman (Body CS)"/>
      <w:b/>
      <w:color w:val="FFFFFF" w:themeColor="background1"/>
      <w:sz w:val="18"/>
      <w:szCs w:val="32"/>
      <w:lang w:eastAsia="en-US"/>
    </w:rPr>
  </w:style>
  <w:style w:type="paragraph" w:customStyle="1" w:styleId="Heading20">
    <w:name w:val="Heading2"/>
    <w:basedOn w:val="Heading2-nonumbers"/>
    <w:qFormat/>
    <w:rsid w:val="008F3DAD"/>
    <w:pPr>
      <w:spacing w:before="240"/>
    </w:pPr>
    <w:rPr>
      <w:color w:val="75C10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521613">
      <w:bodyDiv w:val="1"/>
      <w:marLeft w:val="0"/>
      <w:marRight w:val="0"/>
      <w:marTop w:val="0"/>
      <w:marBottom w:val="0"/>
      <w:divBdr>
        <w:top w:val="none" w:sz="0" w:space="0" w:color="auto"/>
        <w:left w:val="none" w:sz="0" w:space="0" w:color="auto"/>
        <w:bottom w:val="none" w:sz="0" w:space="0" w:color="auto"/>
        <w:right w:val="none" w:sz="0" w:space="0" w:color="auto"/>
      </w:divBdr>
    </w:div>
    <w:div w:id="77093238">
      <w:bodyDiv w:val="1"/>
      <w:marLeft w:val="0"/>
      <w:marRight w:val="0"/>
      <w:marTop w:val="0"/>
      <w:marBottom w:val="0"/>
      <w:divBdr>
        <w:top w:val="none" w:sz="0" w:space="0" w:color="auto"/>
        <w:left w:val="none" w:sz="0" w:space="0" w:color="auto"/>
        <w:bottom w:val="none" w:sz="0" w:space="0" w:color="auto"/>
        <w:right w:val="none" w:sz="0" w:space="0" w:color="auto"/>
      </w:divBdr>
      <w:divsChild>
        <w:div w:id="55713674">
          <w:marLeft w:val="0"/>
          <w:marRight w:val="0"/>
          <w:marTop w:val="0"/>
          <w:marBottom w:val="0"/>
          <w:divBdr>
            <w:top w:val="none" w:sz="0" w:space="0" w:color="auto"/>
            <w:left w:val="none" w:sz="0" w:space="0" w:color="auto"/>
            <w:bottom w:val="none" w:sz="0" w:space="0" w:color="auto"/>
            <w:right w:val="none" w:sz="0" w:space="0" w:color="auto"/>
          </w:divBdr>
        </w:div>
      </w:divsChild>
    </w:div>
    <w:div w:id="123624861">
      <w:bodyDiv w:val="1"/>
      <w:marLeft w:val="0"/>
      <w:marRight w:val="0"/>
      <w:marTop w:val="0"/>
      <w:marBottom w:val="0"/>
      <w:divBdr>
        <w:top w:val="none" w:sz="0" w:space="0" w:color="auto"/>
        <w:left w:val="none" w:sz="0" w:space="0" w:color="auto"/>
        <w:bottom w:val="none" w:sz="0" w:space="0" w:color="auto"/>
        <w:right w:val="none" w:sz="0" w:space="0" w:color="auto"/>
      </w:divBdr>
    </w:div>
    <w:div w:id="141046583">
      <w:bodyDiv w:val="1"/>
      <w:marLeft w:val="0"/>
      <w:marRight w:val="0"/>
      <w:marTop w:val="0"/>
      <w:marBottom w:val="0"/>
      <w:divBdr>
        <w:top w:val="none" w:sz="0" w:space="0" w:color="auto"/>
        <w:left w:val="none" w:sz="0" w:space="0" w:color="auto"/>
        <w:bottom w:val="none" w:sz="0" w:space="0" w:color="auto"/>
        <w:right w:val="none" w:sz="0" w:space="0" w:color="auto"/>
      </w:divBdr>
    </w:div>
    <w:div w:id="216163679">
      <w:bodyDiv w:val="1"/>
      <w:marLeft w:val="0"/>
      <w:marRight w:val="0"/>
      <w:marTop w:val="0"/>
      <w:marBottom w:val="0"/>
      <w:divBdr>
        <w:top w:val="none" w:sz="0" w:space="0" w:color="auto"/>
        <w:left w:val="none" w:sz="0" w:space="0" w:color="auto"/>
        <w:bottom w:val="none" w:sz="0" w:space="0" w:color="auto"/>
        <w:right w:val="none" w:sz="0" w:space="0" w:color="auto"/>
      </w:divBdr>
    </w:div>
    <w:div w:id="257643671">
      <w:bodyDiv w:val="1"/>
      <w:marLeft w:val="0"/>
      <w:marRight w:val="0"/>
      <w:marTop w:val="0"/>
      <w:marBottom w:val="0"/>
      <w:divBdr>
        <w:top w:val="none" w:sz="0" w:space="0" w:color="auto"/>
        <w:left w:val="none" w:sz="0" w:space="0" w:color="auto"/>
        <w:bottom w:val="none" w:sz="0" w:space="0" w:color="auto"/>
        <w:right w:val="none" w:sz="0" w:space="0" w:color="auto"/>
      </w:divBdr>
    </w:div>
    <w:div w:id="273052166">
      <w:bodyDiv w:val="1"/>
      <w:marLeft w:val="0"/>
      <w:marRight w:val="0"/>
      <w:marTop w:val="0"/>
      <w:marBottom w:val="0"/>
      <w:divBdr>
        <w:top w:val="none" w:sz="0" w:space="0" w:color="auto"/>
        <w:left w:val="none" w:sz="0" w:space="0" w:color="auto"/>
        <w:bottom w:val="none" w:sz="0" w:space="0" w:color="auto"/>
        <w:right w:val="none" w:sz="0" w:space="0" w:color="auto"/>
      </w:divBdr>
    </w:div>
    <w:div w:id="318731395">
      <w:bodyDiv w:val="1"/>
      <w:marLeft w:val="0"/>
      <w:marRight w:val="0"/>
      <w:marTop w:val="0"/>
      <w:marBottom w:val="0"/>
      <w:divBdr>
        <w:top w:val="none" w:sz="0" w:space="0" w:color="auto"/>
        <w:left w:val="none" w:sz="0" w:space="0" w:color="auto"/>
        <w:bottom w:val="none" w:sz="0" w:space="0" w:color="auto"/>
        <w:right w:val="none" w:sz="0" w:space="0" w:color="auto"/>
      </w:divBdr>
    </w:div>
    <w:div w:id="330643842">
      <w:bodyDiv w:val="1"/>
      <w:marLeft w:val="0"/>
      <w:marRight w:val="0"/>
      <w:marTop w:val="0"/>
      <w:marBottom w:val="0"/>
      <w:divBdr>
        <w:top w:val="none" w:sz="0" w:space="0" w:color="auto"/>
        <w:left w:val="none" w:sz="0" w:space="0" w:color="auto"/>
        <w:bottom w:val="none" w:sz="0" w:space="0" w:color="auto"/>
        <w:right w:val="none" w:sz="0" w:space="0" w:color="auto"/>
      </w:divBdr>
    </w:div>
    <w:div w:id="348026724">
      <w:bodyDiv w:val="1"/>
      <w:marLeft w:val="0"/>
      <w:marRight w:val="0"/>
      <w:marTop w:val="0"/>
      <w:marBottom w:val="0"/>
      <w:divBdr>
        <w:top w:val="none" w:sz="0" w:space="0" w:color="auto"/>
        <w:left w:val="none" w:sz="0" w:space="0" w:color="auto"/>
        <w:bottom w:val="none" w:sz="0" w:space="0" w:color="auto"/>
        <w:right w:val="none" w:sz="0" w:space="0" w:color="auto"/>
      </w:divBdr>
    </w:div>
    <w:div w:id="380056186">
      <w:bodyDiv w:val="1"/>
      <w:marLeft w:val="0"/>
      <w:marRight w:val="0"/>
      <w:marTop w:val="0"/>
      <w:marBottom w:val="0"/>
      <w:divBdr>
        <w:top w:val="none" w:sz="0" w:space="0" w:color="auto"/>
        <w:left w:val="none" w:sz="0" w:space="0" w:color="auto"/>
        <w:bottom w:val="none" w:sz="0" w:space="0" w:color="auto"/>
        <w:right w:val="none" w:sz="0" w:space="0" w:color="auto"/>
      </w:divBdr>
    </w:div>
    <w:div w:id="382759063">
      <w:bodyDiv w:val="1"/>
      <w:marLeft w:val="0"/>
      <w:marRight w:val="0"/>
      <w:marTop w:val="0"/>
      <w:marBottom w:val="0"/>
      <w:divBdr>
        <w:top w:val="none" w:sz="0" w:space="0" w:color="auto"/>
        <w:left w:val="none" w:sz="0" w:space="0" w:color="auto"/>
        <w:bottom w:val="none" w:sz="0" w:space="0" w:color="auto"/>
        <w:right w:val="none" w:sz="0" w:space="0" w:color="auto"/>
      </w:divBdr>
    </w:div>
    <w:div w:id="548536675">
      <w:bodyDiv w:val="1"/>
      <w:marLeft w:val="0"/>
      <w:marRight w:val="0"/>
      <w:marTop w:val="0"/>
      <w:marBottom w:val="0"/>
      <w:divBdr>
        <w:top w:val="none" w:sz="0" w:space="0" w:color="auto"/>
        <w:left w:val="none" w:sz="0" w:space="0" w:color="auto"/>
        <w:bottom w:val="none" w:sz="0" w:space="0" w:color="auto"/>
        <w:right w:val="none" w:sz="0" w:space="0" w:color="auto"/>
      </w:divBdr>
    </w:div>
    <w:div w:id="557521742">
      <w:bodyDiv w:val="1"/>
      <w:marLeft w:val="0"/>
      <w:marRight w:val="0"/>
      <w:marTop w:val="0"/>
      <w:marBottom w:val="0"/>
      <w:divBdr>
        <w:top w:val="none" w:sz="0" w:space="0" w:color="auto"/>
        <w:left w:val="none" w:sz="0" w:space="0" w:color="auto"/>
        <w:bottom w:val="none" w:sz="0" w:space="0" w:color="auto"/>
        <w:right w:val="none" w:sz="0" w:space="0" w:color="auto"/>
      </w:divBdr>
    </w:div>
    <w:div w:id="651064974">
      <w:bodyDiv w:val="1"/>
      <w:marLeft w:val="0"/>
      <w:marRight w:val="0"/>
      <w:marTop w:val="0"/>
      <w:marBottom w:val="0"/>
      <w:divBdr>
        <w:top w:val="none" w:sz="0" w:space="0" w:color="auto"/>
        <w:left w:val="none" w:sz="0" w:space="0" w:color="auto"/>
        <w:bottom w:val="none" w:sz="0" w:space="0" w:color="auto"/>
        <w:right w:val="none" w:sz="0" w:space="0" w:color="auto"/>
      </w:divBdr>
    </w:div>
    <w:div w:id="667098350">
      <w:bodyDiv w:val="1"/>
      <w:marLeft w:val="0"/>
      <w:marRight w:val="0"/>
      <w:marTop w:val="0"/>
      <w:marBottom w:val="0"/>
      <w:divBdr>
        <w:top w:val="none" w:sz="0" w:space="0" w:color="auto"/>
        <w:left w:val="none" w:sz="0" w:space="0" w:color="auto"/>
        <w:bottom w:val="none" w:sz="0" w:space="0" w:color="auto"/>
        <w:right w:val="none" w:sz="0" w:space="0" w:color="auto"/>
      </w:divBdr>
    </w:div>
    <w:div w:id="728454181">
      <w:bodyDiv w:val="1"/>
      <w:marLeft w:val="0"/>
      <w:marRight w:val="0"/>
      <w:marTop w:val="0"/>
      <w:marBottom w:val="0"/>
      <w:divBdr>
        <w:top w:val="none" w:sz="0" w:space="0" w:color="auto"/>
        <w:left w:val="none" w:sz="0" w:space="0" w:color="auto"/>
        <w:bottom w:val="none" w:sz="0" w:space="0" w:color="auto"/>
        <w:right w:val="none" w:sz="0" w:space="0" w:color="auto"/>
      </w:divBdr>
    </w:div>
    <w:div w:id="859511173">
      <w:bodyDiv w:val="1"/>
      <w:marLeft w:val="0"/>
      <w:marRight w:val="0"/>
      <w:marTop w:val="0"/>
      <w:marBottom w:val="0"/>
      <w:divBdr>
        <w:top w:val="none" w:sz="0" w:space="0" w:color="auto"/>
        <w:left w:val="none" w:sz="0" w:space="0" w:color="auto"/>
        <w:bottom w:val="none" w:sz="0" w:space="0" w:color="auto"/>
        <w:right w:val="none" w:sz="0" w:space="0" w:color="auto"/>
      </w:divBdr>
    </w:div>
    <w:div w:id="905603366">
      <w:bodyDiv w:val="1"/>
      <w:marLeft w:val="0"/>
      <w:marRight w:val="0"/>
      <w:marTop w:val="0"/>
      <w:marBottom w:val="0"/>
      <w:divBdr>
        <w:top w:val="none" w:sz="0" w:space="0" w:color="auto"/>
        <w:left w:val="none" w:sz="0" w:space="0" w:color="auto"/>
        <w:bottom w:val="none" w:sz="0" w:space="0" w:color="auto"/>
        <w:right w:val="none" w:sz="0" w:space="0" w:color="auto"/>
      </w:divBdr>
    </w:div>
    <w:div w:id="950630395">
      <w:bodyDiv w:val="1"/>
      <w:marLeft w:val="0"/>
      <w:marRight w:val="0"/>
      <w:marTop w:val="0"/>
      <w:marBottom w:val="0"/>
      <w:divBdr>
        <w:top w:val="none" w:sz="0" w:space="0" w:color="auto"/>
        <w:left w:val="none" w:sz="0" w:space="0" w:color="auto"/>
        <w:bottom w:val="none" w:sz="0" w:space="0" w:color="auto"/>
        <w:right w:val="none" w:sz="0" w:space="0" w:color="auto"/>
      </w:divBdr>
    </w:div>
    <w:div w:id="990253274">
      <w:bodyDiv w:val="1"/>
      <w:marLeft w:val="0"/>
      <w:marRight w:val="0"/>
      <w:marTop w:val="0"/>
      <w:marBottom w:val="0"/>
      <w:divBdr>
        <w:top w:val="none" w:sz="0" w:space="0" w:color="auto"/>
        <w:left w:val="none" w:sz="0" w:space="0" w:color="auto"/>
        <w:bottom w:val="none" w:sz="0" w:space="0" w:color="auto"/>
        <w:right w:val="none" w:sz="0" w:space="0" w:color="auto"/>
      </w:divBdr>
    </w:div>
    <w:div w:id="1105922090">
      <w:bodyDiv w:val="1"/>
      <w:marLeft w:val="0"/>
      <w:marRight w:val="0"/>
      <w:marTop w:val="0"/>
      <w:marBottom w:val="0"/>
      <w:divBdr>
        <w:top w:val="none" w:sz="0" w:space="0" w:color="auto"/>
        <w:left w:val="none" w:sz="0" w:space="0" w:color="auto"/>
        <w:bottom w:val="none" w:sz="0" w:space="0" w:color="auto"/>
        <w:right w:val="none" w:sz="0" w:space="0" w:color="auto"/>
      </w:divBdr>
    </w:div>
    <w:div w:id="1250387250">
      <w:bodyDiv w:val="1"/>
      <w:marLeft w:val="0"/>
      <w:marRight w:val="0"/>
      <w:marTop w:val="0"/>
      <w:marBottom w:val="0"/>
      <w:divBdr>
        <w:top w:val="none" w:sz="0" w:space="0" w:color="auto"/>
        <w:left w:val="none" w:sz="0" w:space="0" w:color="auto"/>
        <w:bottom w:val="none" w:sz="0" w:space="0" w:color="auto"/>
        <w:right w:val="none" w:sz="0" w:space="0" w:color="auto"/>
      </w:divBdr>
    </w:div>
    <w:div w:id="1253516691">
      <w:bodyDiv w:val="1"/>
      <w:marLeft w:val="0"/>
      <w:marRight w:val="0"/>
      <w:marTop w:val="0"/>
      <w:marBottom w:val="0"/>
      <w:divBdr>
        <w:top w:val="none" w:sz="0" w:space="0" w:color="auto"/>
        <w:left w:val="none" w:sz="0" w:space="0" w:color="auto"/>
        <w:bottom w:val="none" w:sz="0" w:space="0" w:color="auto"/>
        <w:right w:val="none" w:sz="0" w:space="0" w:color="auto"/>
      </w:divBdr>
      <w:divsChild>
        <w:div w:id="1241213237">
          <w:marLeft w:val="0"/>
          <w:marRight w:val="0"/>
          <w:marTop w:val="0"/>
          <w:marBottom w:val="0"/>
          <w:divBdr>
            <w:top w:val="none" w:sz="0" w:space="0" w:color="auto"/>
            <w:left w:val="none" w:sz="0" w:space="0" w:color="auto"/>
            <w:bottom w:val="none" w:sz="0" w:space="0" w:color="auto"/>
            <w:right w:val="none" w:sz="0" w:space="0" w:color="auto"/>
          </w:divBdr>
        </w:div>
      </w:divsChild>
    </w:div>
    <w:div w:id="1289819181">
      <w:bodyDiv w:val="1"/>
      <w:marLeft w:val="0"/>
      <w:marRight w:val="0"/>
      <w:marTop w:val="0"/>
      <w:marBottom w:val="0"/>
      <w:divBdr>
        <w:top w:val="none" w:sz="0" w:space="0" w:color="auto"/>
        <w:left w:val="none" w:sz="0" w:space="0" w:color="auto"/>
        <w:bottom w:val="none" w:sz="0" w:space="0" w:color="auto"/>
        <w:right w:val="none" w:sz="0" w:space="0" w:color="auto"/>
      </w:divBdr>
    </w:div>
    <w:div w:id="1307783192">
      <w:bodyDiv w:val="1"/>
      <w:marLeft w:val="0"/>
      <w:marRight w:val="0"/>
      <w:marTop w:val="0"/>
      <w:marBottom w:val="0"/>
      <w:divBdr>
        <w:top w:val="none" w:sz="0" w:space="0" w:color="auto"/>
        <w:left w:val="none" w:sz="0" w:space="0" w:color="auto"/>
        <w:bottom w:val="none" w:sz="0" w:space="0" w:color="auto"/>
        <w:right w:val="none" w:sz="0" w:space="0" w:color="auto"/>
      </w:divBdr>
    </w:div>
    <w:div w:id="1340696309">
      <w:bodyDiv w:val="1"/>
      <w:marLeft w:val="0"/>
      <w:marRight w:val="0"/>
      <w:marTop w:val="0"/>
      <w:marBottom w:val="0"/>
      <w:divBdr>
        <w:top w:val="none" w:sz="0" w:space="0" w:color="auto"/>
        <w:left w:val="none" w:sz="0" w:space="0" w:color="auto"/>
        <w:bottom w:val="none" w:sz="0" w:space="0" w:color="auto"/>
        <w:right w:val="none" w:sz="0" w:space="0" w:color="auto"/>
      </w:divBdr>
    </w:div>
    <w:div w:id="1368720399">
      <w:bodyDiv w:val="1"/>
      <w:marLeft w:val="0"/>
      <w:marRight w:val="0"/>
      <w:marTop w:val="0"/>
      <w:marBottom w:val="0"/>
      <w:divBdr>
        <w:top w:val="none" w:sz="0" w:space="0" w:color="auto"/>
        <w:left w:val="none" w:sz="0" w:space="0" w:color="auto"/>
        <w:bottom w:val="none" w:sz="0" w:space="0" w:color="auto"/>
        <w:right w:val="none" w:sz="0" w:space="0" w:color="auto"/>
      </w:divBdr>
    </w:div>
    <w:div w:id="1458181748">
      <w:bodyDiv w:val="1"/>
      <w:marLeft w:val="0"/>
      <w:marRight w:val="0"/>
      <w:marTop w:val="0"/>
      <w:marBottom w:val="0"/>
      <w:divBdr>
        <w:top w:val="none" w:sz="0" w:space="0" w:color="auto"/>
        <w:left w:val="none" w:sz="0" w:space="0" w:color="auto"/>
        <w:bottom w:val="none" w:sz="0" w:space="0" w:color="auto"/>
        <w:right w:val="none" w:sz="0" w:space="0" w:color="auto"/>
      </w:divBdr>
    </w:div>
    <w:div w:id="1566573339">
      <w:bodyDiv w:val="1"/>
      <w:marLeft w:val="0"/>
      <w:marRight w:val="0"/>
      <w:marTop w:val="0"/>
      <w:marBottom w:val="0"/>
      <w:divBdr>
        <w:top w:val="none" w:sz="0" w:space="0" w:color="auto"/>
        <w:left w:val="none" w:sz="0" w:space="0" w:color="auto"/>
        <w:bottom w:val="none" w:sz="0" w:space="0" w:color="auto"/>
        <w:right w:val="none" w:sz="0" w:space="0" w:color="auto"/>
      </w:divBdr>
    </w:div>
    <w:div w:id="1606812567">
      <w:bodyDiv w:val="1"/>
      <w:marLeft w:val="0"/>
      <w:marRight w:val="0"/>
      <w:marTop w:val="0"/>
      <w:marBottom w:val="0"/>
      <w:divBdr>
        <w:top w:val="none" w:sz="0" w:space="0" w:color="auto"/>
        <w:left w:val="none" w:sz="0" w:space="0" w:color="auto"/>
        <w:bottom w:val="none" w:sz="0" w:space="0" w:color="auto"/>
        <w:right w:val="none" w:sz="0" w:space="0" w:color="auto"/>
      </w:divBdr>
    </w:div>
    <w:div w:id="1685667875">
      <w:bodyDiv w:val="1"/>
      <w:marLeft w:val="0"/>
      <w:marRight w:val="0"/>
      <w:marTop w:val="0"/>
      <w:marBottom w:val="0"/>
      <w:divBdr>
        <w:top w:val="none" w:sz="0" w:space="0" w:color="auto"/>
        <w:left w:val="none" w:sz="0" w:space="0" w:color="auto"/>
        <w:bottom w:val="none" w:sz="0" w:space="0" w:color="auto"/>
        <w:right w:val="none" w:sz="0" w:space="0" w:color="auto"/>
      </w:divBdr>
    </w:div>
    <w:div w:id="1746762606">
      <w:bodyDiv w:val="1"/>
      <w:marLeft w:val="0"/>
      <w:marRight w:val="0"/>
      <w:marTop w:val="0"/>
      <w:marBottom w:val="0"/>
      <w:divBdr>
        <w:top w:val="none" w:sz="0" w:space="0" w:color="auto"/>
        <w:left w:val="none" w:sz="0" w:space="0" w:color="auto"/>
        <w:bottom w:val="none" w:sz="0" w:space="0" w:color="auto"/>
        <w:right w:val="none" w:sz="0" w:space="0" w:color="auto"/>
      </w:divBdr>
    </w:div>
    <w:div w:id="1898127340">
      <w:bodyDiv w:val="1"/>
      <w:marLeft w:val="0"/>
      <w:marRight w:val="0"/>
      <w:marTop w:val="0"/>
      <w:marBottom w:val="0"/>
      <w:divBdr>
        <w:top w:val="none" w:sz="0" w:space="0" w:color="auto"/>
        <w:left w:val="none" w:sz="0" w:space="0" w:color="auto"/>
        <w:bottom w:val="none" w:sz="0" w:space="0" w:color="auto"/>
        <w:right w:val="none" w:sz="0" w:space="0" w:color="auto"/>
      </w:divBdr>
    </w:div>
    <w:div w:id="1978147548">
      <w:bodyDiv w:val="1"/>
      <w:marLeft w:val="0"/>
      <w:marRight w:val="0"/>
      <w:marTop w:val="0"/>
      <w:marBottom w:val="0"/>
      <w:divBdr>
        <w:top w:val="none" w:sz="0" w:space="0" w:color="auto"/>
        <w:left w:val="none" w:sz="0" w:space="0" w:color="auto"/>
        <w:bottom w:val="none" w:sz="0" w:space="0" w:color="auto"/>
        <w:right w:val="none" w:sz="0" w:space="0" w:color="auto"/>
      </w:divBdr>
    </w:div>
    <w:div w:id="2049988323">
      <w:bodyDiv w:val="1"/>
      <w:marLeft w:val="0"/>
      <w:marRight w:val="0"/>
      <w:marTop w:val="0"/>
      <w:marBottom w:val="0"/>
      <w:divBdr>
        <w:top w:val="none" w:sz="0" w:space="0" w:color="auto"/>
        <w:left w:val="none" w:sz="0" w:space="0" w:color="auto"/>
        <w:bottom w:val="none" w:sz="0" w:space="0" w:color="auto"/>
        <w:right w:val="none" w:sz="0" w:space="0" w:color="auto"/>
      </w:divBdr>
    </w:div>
    <w:div w:id="20928923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image" Target="media/image5.png"/><Relationship Id="rId21" Type="http://schemas.openxmlformats.org/officeDocument/2006/relationships/image" Target="media/image6.png"/><Relationship Id="rId22"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Custom 57">
      <a:dk1>
        <a:srgbClr val="3D545E"/>
      </a:dk1>
      <a:lt1>
        <a:srgbClr val="FFFFFF"/>
      </a:lt1>
      <a:dk2>
        <a:srgbClr val="63777E"/>
      </a:dk2>
      <a:lt2>
        <a:srgbClr val="E7E6E6"/>
      </a:lt2>
      <a:accent1>
        <a:srgbClr val="92F105"/>
      </a:accent1>
      <a:accent2>
        <a:srgbClr val="F17C11"/>
      </a:accent2>
      <a:accent3>
        <a:srgbClr val="8A999D"/>
      </a:accent3>
      <a:accent4>
        <a:srgbClr val="F7B170"/>
      </a:accent4>
      <a:accent5>
        <a:srgbClr val="1DC8F1"/>
      </a:accent5>
      <a:accent6>
        <a:srgbClr val="75C104"/>
      </a:accent6>
      <a:hlink>
        <a:srgbClr val="16A0C1"/>
      </a:hlink>
      <a:folHlink>
        <a:srgbClr val="C1630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0789f30-979e-497b-8344-faefb3987540" xsi:nil="true"/>
    <lcf76f155ced4ddcb4097134ff3c332f xmlns="df76e320-99cb-4a11-b59f-8bf32867ab70">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5C6577D0C3AE724BBB504F46D5A19401" ma:contentTypeVersion="18" ma:contentTypeDescription="Create a new document." ma:contentTypeScope="" ma:versionID="0faa3b765bc3ad41758b2d0c38fa1b25">
  <xsd:schema xmlns:xsd="http://www.w3.org/2001/XMLSchema" xmlns:xs="http://www.w3.org/2001/XMLSchema" xmlns:p="http://schemas.microsoft.com/office/2006/metadata/properties" xmlns:ns2="df76e320-99cb-4a11-b59f-8bf32867ab70" xmlns:ns3="c0789f30-979e-497b-8344-faefb3987540" targetNamespace="http://schemas.microsoft.com/office/2006/metadata/properties" ma:root="true" ma:fieldsID="223fee81cbe4f33532603c1ca066db92" ns2:_="" ns3:_="">
    <xsd:import namespace="df76e320-99cb-4a11-b59f-8bf32867ab70"/>
    <xsd:import namespace="c0789f30-979e-497b-8344-faefb398754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76e320-99cb-4a11-b59f-8bf32867ab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ea5f6a7-5373-4784-9cd5-4ca8be386d98"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description="" ma:indexed="true"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0789f30-979e-497b-8344-faefb398754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1100522-260f-4f17-9a31-47a12622b1e0}" ma:internalName="TaxCatchAll" ma:showField="CatchAllData" ma:web="c0789f30-979e-497b-8344-faefb39875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5E0443C-4F90-4629-97D7-B1DE713ED804}">
  <ds:schemaRefs>
    <ds:schemaRef ds:uri="http://schemas.microsoft.com/office/2006/metadata/properties"/>
    <ds:schemaRef ds:uri="http://schemas.microsoft.com/office/infopath/2007/PartnerControls"/>
    <ds:schemaRef ds:uri="c0789f30-979e-497b-8344-faefb3987540"/>
    <ds:schemaRef ds:uri="df76e320-99cb-4a11-b59f-8bf32867ab70"/>
  </ds:schemaRefs>
</ds:datastoreItem>
</file>

<file path=customXml/itemProps2.xml><?xml version="1.0" encoding="utf-8"?>
<ds:datastoreItem xmlns:ds="http://schemas.openxmlformats.org/officeDocument/2006/customXml" ds:itemID="{4025F58E-3AB4-3342-9197-1CA84913C711}">
  <ds:schemaRefs>
    <ds:schemaRef ds:uri="http://schemas.openxmlformats.org/officeDocument/2006/bibliography"/>
  </ds:schemaRefs>
</ds:datastoreItem>
</file>

<file path=customXml/itemProps3.xml><?xml version="1.0" encoding="utf-8"?>
<ds:datastoreItem xmlns:ds="http://schemas.openxmlformats.org/officeDocument/2006/customXml" ds:itemID="{8755120E-120F-492C-8F62-4A444EBFBADE}">
  <ds:schemaRefs>
    <ds:schemaRef ds:uri="http://schemas.microsoft.com/sharepoint/v3/contenttype/forms"/>
  </ds:schemaRefs>
</ds:datastoreItem>
</file>

<file path=customXml/itemProps4.xml><?xml version="1.0" encoding="utf-8"?>
<ds:datastoreItem xmlns:ds="http://schemas.openxmlformats.org/officeDocument/2006/customXml" ds:itemID="{CCC8F36E-89B9-474C-806E-D641BDB54A66}"/>
</file>

<file path=docProps/app.xml><?xml version="1.0" encoding="utf-8"?>
<Properties xmlns="http://schemas.openxmlformats.org/officeDocument/2006/extended-properties" xmlns:vt="http://schemas.openxmlformats.org/officeDocument/2006/docPropsVTypes">
  <Template>Normal</Template>
  <TotalTime>737</TotalTime>
  <Pages>2</Pages>
  <Words>0</Words>
  <Characters>2</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Review of Balanced Plus Model Portfolio – March 2022</dc:subject>
  <dc:creator>Chris Tucker</dc:creator>
  <cp:keywords/>
  <dc:description/>
  <cp:lastModifiedBy>Kevin Toohey</cp:lastModifiedBy>
  <cp:revision>173</cp:revision>
  <cp:lastPrinted>2022-04-29T02:04:00Z</cp:lastPrinted>
  <dcterms:created xsi:type="dcterms:W3CDTF">2022-07-06T04:09:00Z</dcterms:created>
  <dcterms:modified xsi:type="dcterms:W3CDTF">2026-01-05T23:23:00Z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0x0101005C6577D0C3AE724BBB504F46D5A19401</vt:lpwstr>
  </property>
  <property fmtid="{D5CDD505-2E9C-101B-9397-08002B2CF9AE}" pid="3" name="MediaServiceImageTags">
    <vt:lpwstr/>
  </property>
  <property fmtid="{D5CDD505-2E9C-101B-9397-08002B2CF9AE}" pid="4" name="GrammarlyDocumentId">
    <vt:lpwstr>069f8ed2d639f42f3358f26f779bc282e55092fa4eaeb322fffafbd991d9d555</vt:lpwstr>
  </property>
  <property fmtid="{D5CDD505-2E9C-101B-9397-08002B2CF9AE}" pid="5" name="docLang">
    <vt:lpwstr>en</vt:lpwstr>
  </property>
</Properties>
</file>