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Euree Balanced Portfolio</w:t>
      </w:r>
      <w:r>
        <w:tab/>
      </w:r>
      <w:r>
        <w:t>30 April 2025</w:t>
      </w:r>
    </w:p>
    <w:tbl>
      <w:tblPr>
        <w:tblStyle w:val="AtchisonTable1"/>
        <w:tblW w:type="auto" w:w="0"/>
        <w:tblLook w:firstColumn="1" w:firstRow="1" w:lastColumn="0" w:lastRow="0" w:noHBand="0" w:noVBand="1" w:val="04A0"/>
      </w:tblPr>
      <w:tblGrid>
        <w:gridCol w:w="2211"/>
        <w:gridCol w:w="2211"/>
        <w:gridCol w:w="2211"/>
        <w:gridCol w:w="2211"/>
        <w:gridCol w:w="2211"/>
      </w:tblGrid>
      <w:tr>
        <w:tc>
          <w:tcPr>
            <w:tcW w:type="dxa" w:w="2551"/>
          </w:tcPr>
          <w:p/>
        </w:tc>
        <w:tc>
          <w:tcPr>
            <w:tcW w:type="dxa" w:w="2055"/>
          </w:tcPr>
          <w:p>
            <w:r>
              <w:t>3 Months</w:t>
            </w:r>
          </w:p>
        </w:tc>
        <w:tc>
          <w:tcPr>
            <w:tcW w:type="dxa" w:w="2055"/>
          </w:tcPr>
          <w:p>
            <w:r>
              <w:t>6 Months</w:t>
            </w:r>
          </w:p>
        </w:tc>
        <w:tc>
          <w:tcPr>
            <w:tcW w:type="dxa" w:w="2055"/>
          </w:tcPr>
          <w:p>
            <w:r>
              <w:t>1 Year</w:t>
            </w:r>
          </w:p>
        </w:tc>
        <w:tc>
          <w:tcPr>
            <w:tcW w:type="dxa" w:w="2055"/>
          </w:tcPr>
          <w:p>
            <w:r>
              <w:t>Since Inception (p.a.)</w:t>
            </w:r>
          </w:p>
        </w:tc>
      </w:tr>
      <w:tr>
        <w:tc>
          <w:tcPr>
            <w:tcW w:type="dxa" w:w="2551"/>
          </w:tcPr>
          <w:p>
            <w:r>
              <w:t>Euree_Balanced</w:t>
            </w:r>
          </w:p>
        </w:tc>
        <w:tc>
          <w:tcPr>
            <w:tcW w:type="dxa" w:w="2055"/>
          </w:tcPr>
          <w:p>
            <w:r>
              <w:rPr>
                <w:b/>
              </w:rPr>
              <w:t>-0.81</w:t>
            </w:r>
          </w:p>
        </w:tc>
        <w:tc>
          <w:tcPr>
            <w:tcW w:type="dxa" w:w="2055"/>
          </w:tcPr>
          <w:p>
            <w:r>
              <w:rPr>
                <w:b/>
              </w:rPr>
              <w:t>2.92</w:t>
            </w:r>
          </w:p>
        </w:tc>
        <w:tc>
          <w:tcPr>
            <w:tcW w:type="dxa" w:w="2055"/>
          </w:tcPr>
          <w:p>
            <w:r>
              <w:rPr>
                <w:b/>
              </w:rPr>
              <w:t>9.26</w:t>
            </w:r>
          </w:p>
        </w:tc>
        <w:tc>
          <w:tcPr>
            <w:tcW w:type="dxa" w:w="2055"/>
          </w:tcPr>
          <w:p>
            <w:r>
              <w:rPr>
                <w:b/>
              </w:rPr>
              <w:t>10.29</w:t>
            </w:r>
          </w:p>
        </w:tc>
      </w:tr>
      <w:tr>
        <w:tc>
          <w:tcPr>
            <w:tcW w:type="dxa" w:w="2551"/>
          </w:tcPr>
          <w:p>
            <w:r>
              <w:t>Peer Group</w:t>
            </w:r>
          </w:p>
        </w:tc>
        <w:tc>
          <w:tcPr>
            <w:tcW w:type="dxa" w:w="2055"/>
          </w:tcPr>
          <w:p>
            <w:r>
              <w:t>-1.48</w:t>
            </w:r>
          </w:p>
        </w:tc>
        <w:tc>
          <w:tcPr>
            <w:tcW w:type="dxa" w:w="2055"/>
          </w:tcPr>
          <w:p>
            <w:r>
              <w:t>1.73</w:t>
            </w:r>
          </w:p>
        </w:tc>
        <w:tc>
          <w:tcPr>
            <w:tcW w:type="dxa" w:w="2055"/>
          </w:tcPr>
          <w:p>
            <w:r>
              <w:t>7.16</w:t>
            </w:r>
          </w:p>
        </w:tc>
        <w:tc>
          <w:tcPr>
            <w:tcW w:type="dxa" w:w="2055"/>
          </w:tcPr>
          <w:p>
            <w:r>
              <w:t>8.11</w:t>
            </w:r>
          </w:p>
        </w:tc>
      </w:tr>
      <w:tr>
        <w:tc>
          <w:tcPr>
            <w:tcW w:type="dxa" w:w="2551"/>
          </w:tcPr>
          <w:p>
            <w:r>
              <w:t>Inflation</w:t>
            </w:r>
          </w:p>
        </w:tc>
        <w:tc>
          <w:tcPr>
            <w:tcW w:type="dxa" w:w="2055"/>
          </w:tcPr>
          <w:p>
            <w:r>
              <w:t>0.0</w:t>
            </w:r>
          </w:p>
        </w:tc>
        <w:tc>
          <w:tcPr>
            <w:tcW w:type="dxa" w:w="2055"/>
          </w:tcPr>
          <w:p>
            <w:r>
              <w:t>0.0</w:t>
            </w:r>
          </w:p>
        </w:tc>
        <w:tc>
          <w:tcPr>
            <w:tcW w:type="dxa" w:w="2055"/>
          </w:tcPr>
          <w:p>
            <w:r>
              <w:t>1.82</w:t>
            </w:r>
          </w:p>
        </w:tc>
        <w:tc>
          <w:tcPr>
            <w:tcW w:type="dxa" w:w="2055"/>
          </w:tcPr>
          <w:p>
            <w:r>
              <w:t>2.54</w:t>
            </w:r>
          </w:p>
        </w:tc>
      </w:tr>
      <w:tr>
        <w:tc>
          <w:tcPr>
            <w:tcW w:type="dxa" w:w="2551"/>
          </w:tcPr>
          <w:p>
            <w:r>
              <w:t>Outperformance vs Peers</w:t>
            </w:r>
          </w:p>
        </w:tc>
        <w:tc>
          <w:tcPr>
            <w:tcW w:type="dxa" w:w="2055"/>
          </w:tcPr>
          <w:p>
            <w:r>
              <w:t>0.66</w:t>
            </w:r>
          </w:p>
        </w:tc>
        <w:tc>
          <w:tcPr>
            <w:tcW w:type="dxa" w:w="2055"/>
          </w:tcPr>
          <w:p>
            <w:r>
              <w:t>1.19</w:t>
            </w:r>
          </w:p>
        </w:tc>
        <w:tc>
          <w:tcPr>
            <w:tcW w:type="dxa" w:w="2055"/>
          </w:tcPr>
          <w:p>
            <w:r>
              <w:t>2.1</w:t>
            </w:r>
          </w:p>
        </w:tc>
        <w:tc>
          <w:tcPr>
            <w:tcW w:type="dxa" w:w="2055"/>
          </w:tcPr>
          <w:p>
            <w:r>
              <w:t>2.18</w:t>
            </w:r>
          </w:p>
        </w:tc>
      </w:tr>
      <w:tr>
        <w:tc>
          <w:tcPr>
            <w:tcW w:type="dxa" w:w="2551"/>
          </w:tcPr>
          <w:p>
            <w:r>
              <w:t>Outperformance vs Inflation</w:t>
            </w:r>
          </w:p>
        </w:tc>
        <w:tc>
          <w:tcPr>
            <w:tcW w:type="dxa" w:w="2055"/>
          </w:tcPr>
          <w:p>
            <w:r>
              <w:t>-0.81</w:t>
            </w:r>
          </w:p>
        </w:tc>
        <w:tc>
          <w:tcPr>
            <w:tcW w:type="dxa" w:w="2055"/>
          </w:tcPr>
          <w:p>
            <w:r>
              <w:t>2.92</w:t>
            </w:r>
          </w:p>
        </w:tc>
        <w:tc>
          <w:tcPr>
            <w:tcW w:type="dxa" w:w="2055"/>
          </w:tcPr>
          <w:p>
            <w:r>
              <w:t>7.44</w:t>
            </w:r>
          </w:p>
        </w:tc>
        <w:tc>
          <w:tcPr>
            <w:tcW w:type="dxa" w:w="2055"/>
          </w:tcPr>
          <w:p>
            <w:r>
              <w:t>7.75</w:t>
            </w:r>
          </w:p>
        </w:tc>
      </w:tr>
    </w:tbl>
    <w:p>
      <w:pPr>
        <w:pStyle w:val="Note"/>
      </w:pPr>
      <w:r>
        <w:t>Inception Date: 22 August 2023</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nan</w:t>
      </w:r>
    </w:p>
    <w:p>
      <w:pPr>
        <w:pStyle w:val="Heading2"/>
      </w:pPr>
      <w:r>
        <w:t>Strategy Overview</w:t>
      </w:r>
    </w:p>
    <w:p>
      <w:pPr>
        <w:pStyle w:val="BodyStyle"/>
      </w:pPr>
      <w:r>
        <w:t>nan</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Euree</w:t>
            </w:r>
          </w:p>
        </w:tc>
      </w:tr>
      <w:tr>
        <w:tc>
          <w:tcPr>
            <w:tcW w:type="dxa" w:w="2268"/>
          </w:tcPr>
          <w:p>
            <w:r>
              <w:t>Benchmark</w:t>
            </w:r>
          </w:p>
        </w:tc>
        <w:tc>
          <w:tcPr>
            <w:tcW w:type="dxa" w:w="3118"/>
          </w:tcPr>
          <w:p>
            <w:r>
              <w:t>nan</w:t>
            </w:r>
          </w:p>
        </w:tc>
      </w:tr>
      <w:tr>
        <w:tc>
          <w:tcPr>
            <w:tcW w:type="dxa" w:w="2268"/>
          </w:tcPr>
          <w:p>
            <w:r>
              <w:t>Inception Date</w:t>
            </w:r>
          </w:p>
        </w:tc>
        <w:tc>
          <w:tcPr>
            <w:tcW w:type="dxa" w:w="3118"/>
          </w:tcPr>
          <w:p>
            <w:r>
              <w:t>22 August 2023</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
      </w:pPr>
      <w:r>
        <w:t>Top 10 Share Exposures</w:t>
      </w:r>
    </w:p>
    <w:tbl>
      <w:tblPr>
        <w:tblStyle w:val="AtchisonTable1"/>
        <w:tblW w:type="auto" w:w="0"/>
        <w:tblLook w:firstColumn="1" w:firstRow="1" w:lastColumn="0" w:lastRow="0" w:noHBand="0" w:noVBand="1" w:val="04A0"/>
      </w:tblPr>
      <w:tblGrid>
        <w:gridCol w:w="5528"/>
        <w:gridCol w:w="5528"/>
      </w:tblGrid>
      <w:tr>
        <w:tc>
          <w:tcPr>
            <w:tcW w:type="dxa" w:w="1417"/>
          </w:tcPr>
          <w:p>
            <w:r>
              <w:rPr>
                <w:b/>
              </w:rPr>
              <w:t>Code</w:t>
            </w:r>
          </w:p>
        </w:tc>
        <w:tc>
          <w:tcPr>
            <w:tcW w:type="dxa" w:w="3685"/>
          </w:tcPr>
          <w:p>
            <w:r>
              <w:rPr>
                <w:b/>
              </w:rPr>
              <w:t>Name</w:t>
            </w:r>
          </w:p>
        </w:tc>
      </w:tr>
      <w:tr>
        <w:tc>
          <w:tcPr>
            <w:tcW w:type="dxa" w:w="1417"/>
          </w:tcPr>
          <w:p>
            <w:r>
              <w:t>QRI-AU(RA)</w:t>
            </w:r>
          </w:p>
        </w:tc>
        <w:tc>
          <w:tcPr>
            <w:tcW w:type="dxa" w:w="3685"/>
          </w:tcPr>
          <w:p>
            <w:r>
              <w:t>Qualitas Real Estate Income Fund</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CSL-AU</w:t>
            </w:r>
          </w:p>
        </w:tc>
        <w:tc>
          <w:tcPr>
            <w:tcW w:type="dxa" w:w="3685"/>
          </w:tcPr>
          <w:p>
            <w:r>
              <w:t>CSL Limited</w:t>
            </w:r>
          </w:p>
        </w:tc>
      </w:tr>
      <w:tr>
        <w:tc>
          <w:tcPr>
            <w:tcW w:type="dxa" w:w="1417"/>
          </w:tcPr>
          <w:p>
            <w:r>
              <w:t>NAB-AU</w:t>
            </w:r>
          </w:p>
        </w:tc>
        <w:tc>
          <w:tcPr>
            <w:tcW w:type="dxa" w:w="3685"/>
          </w:tcPr>
          <w:p>
            <w:r>
              <w:t>National Australia Bank Limited</w:t>
            </w:r>
          </w:p>
        </w:tc>
      </w:tr>
      <w:tr>
        <w:tc>
          <w:tcPr>
            <w:tcW w:type="dxa" w:w="1417"/>
          </w:tcPr>
          <w:p>
            <w:r>
              <w:t>ANZ-AU</w:t>
            </w:r>
          </w:p>
        </w:tc>
        <w:tc>
          <w:tcPr>
            <w:tcW w:type="dxa" w:w="3685"/>
          </w:tcPr>
          <w:p>
            <w:r>
              <w:t>ANZ Group Holdings Limited</w:t>
            </w:r>
          </w:p>
        </w:tc>
      </w:tr>
      <w:tr>
        <w:tc>
          <w:tcPr>
            <w:tcW w:type="dxa" w:w="1417"/>
          </w:tcPr>
          <w:p>
            <w:r>
              <w:t>WBC-AU</w:t>
            </w:r>
          </w:p>
        </w:tc>
        <w:tc>
          <w:tcPr>
            <w:tcW w:type="dxa" w:w="3685"/>
          </w:tcPr>
          <w:p>
            <w:r>
              <w:t>Westpac Banking Corporation</w:t>
            </w:r>
          </w:p>
        </w:tc>
      </w:tr>
      <w:tr>
        <w:tc>
          <w:tcPr>
            <w:tcW w:type="dxa" w:w="1417"/>
          </w:tcPr>
          <w:p>
            <w:r>
              <w:t>WDS-AU</w:t>
            </w:r>
          </w:p>
        </w:tc>
        <w:tc>
          <w:tcPr>
            <w:tcW w:type="dxa" w:w="3685"/>
          </w:tcPr>
          <w:p>
            <w:r>
              <w:t>Woodside Energy Group Ltd</w:t>
            </w:r>
          </w:p>
        </w:tc>
      </w:tr>
      <w:tr>
        <w:tc>
          <w:tcPr>
            <w:tcW w:type="dxa" w:w="1417"/>
          </w:tcPr>
          <w:p>
            <w:r>
              <w:t>WES-AU</w:t>
            </w:r>
          </w:p>
        </w:tc>
        <w:tc>
          <w:tcPr>
            <w:tcW w:type="dxa" w:w="3685"/>
          </w:tcPr>
          <w:p>
            <w:r>
              <w:t>Wesfarmers Limited</w:t>
            </w:r>
          </w:p>
        </w:tc>
      </w:tr>
      <w:tr>
        <w:tc>
          <w:tcPr>
            <w:tcW w:type="dxa" w:w="1417"/>
          </w:tcPr>
          <w:p>
            <w:r>
              <w:t>MQG-AU</w:t>
            </w:r>
          </w:p>
        </w:tc>
        <w:tc>
          <w:tcPr>
            <w:tcW w:type="dxa" w:w="3685"/>
          </w:tcPr>
          <w:p>
            <w:r>
              <w:t>Macquarie Group Limited</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34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34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Asset Class Performance</w:t>
      </w:r>
    </w:p>
    <w:tbl>
      <w:tblPr>
        <w:tblStyle w:val="AtchisonTable1"/>
        <w:tblW w:type="auto" w:w="0"/>
        <w:tblLook w:firstColumn="1" w:firstRow="1" w:lastColumn="0" w:lastRow="0" w:noHBand="0" w:noVBand="1" w:val="04A0"/>
      </w:tblPr>
      <w:tblGrid>
        <w:gridCol w:w="5528"/>
        <w:gridCol w:w="5528"/>
      </w:tblGrid>
      <w:tr>
        <w:tc>
          <w:tcPr>
            <w:tcW w:type="dxa" w:w="1984"/>
          </w:tcPr>
          <w:p>
            <w:r>
              <w:rPr>
                <w:b/>
              </w:rPr>
              <w:t>Period</w:t>
            </w:r>
          </w:p>
        </w:tc>
        <w:tc>
          <w:tcPr>
            <w:tcW w:type="dxa" w:w="3118"/>
          </w:tcPr>
          <w:p>
            <w:r>
              <w:rPr>
                <w:b/>
              </w:rPr>
              <w:t>1 Year</w:t>
            </w:r>
          </w:p>
        </w:tc>
      </w:tr>
      <w:tr>
        <w:tc>
          <w:tcPr>
            <w:tcW w:type="dxa" w:w="1984"/>
          </w:tcPr>
          <w:p>
            <w:r>
              <w:t>Australian Shares</w:t>
            </w:r>
          </w:p>
        </w:tc>
        <w:tc>
          <w:tcPr>
            <w:tcW w:type="dxa" w:w="3118"/>
          </w:tcPr>
          <w:p>
            <w:r>
              <w:t>6.5</w:t>
            </w:r>
          </w:p>
        </w:tc>
      </w:tr>
      <w:tr>
        <w:tc>
          <w:tcPr>
            <w:tcW w:type="dxa" w:w="1984"/>
          </w:tcPr>
          <w:p>
            <w:r>
              <w:t>International Shares</w:t>
            </w:r>
          </w:p>
        </w:tc>
        <w:tc>
          <w:tcPr>
            <w:tcW w:type="dxa" w:w="3118"/>
          </w:tcPr>
          <w:p>
            <w:r>
              <w:t>8.86</w:t>
            </w:r>
          </w:p>
        </w:tc>
      </w:tr>
      <w:tr>
        <w:tc>
          <w:tcPr>
            <w:tcW w:type="dxa" w:w="1984"/>
          </w:tcPr>
          <w:p>
            <w:r>
              <w:t>Real Assets</w:t>
            </w:r>
          </w:p>
        </w:tc>
        <w:tc>
          <w:tcPr>
            <w:tcW w:type="dxa" w:w="3118"/>
          </w:tcPr>
          <w:p>
            <w:r>
              <w:t>16.47</w:t>
            </w:r>
          </w:p>
        </w:tc>
      </w:tr>
      <w:tr>
        <w:tc>
          <w:tcPr>
            <w:tcW w:type="dxa" w:w="1984"/>
          </w:tcPr>
          <w:p>
            <w:r>
              <w:t>Alternatives</w:t>
            </w:r>
          </w:p>
        </w:tc>
        <w:tc>
          <w:tcPr>
            <w:tcW w:type="dxa" w:w="3118"/>
          </w:tcPr>
          <w:p>
            <w:r>
              <w:t>29.32</w:t>
            </w:r>
          </w:p>
        </w:tc>
      </w:tr>
      <w:tr>
        <w:tc>
          <w:tcPr>
            <w:tcW w:type="dxa" w:w="1984"/>
          </w:tcPr>
          <w:p>
            <w:r>
              <w:t>Long Duration</w:t>
            </w:r>
          </w:p>
        </w:tc>
        <w:tc>
          <w:tcPr>
            <w:tcW w:type="dxa" w:w="3118"/>
          </w:tcPr>
          <w:p>
            <w:r>
              <w:t>5.54</w:t>
            </w:r>
          </w:p>
        </w:tc>
      </w:tr>
      <w:tr>
        <w:tc>
          <w:tcPr>
            <w:tcW w:type="dxa" w:w="1984"/>
          </w:tcPr>
          <w:p>
            <w:r>
              <w:t>Floating Rate</w:t>
            </w:r>
          </w:p>
        </w:tc>
        <w:tc>
          <w:tcPr>
            <w:tcW w:type="dxa" w:w="3118"/>
          </w:tcPr>
          <w:p>
            <w:r>
              <w:t>5.77</w:t>
            </w:r>
          </w:p>
        </w:tc>
      </w:tr>
      <w:tr>
        <w:tc>
          <w:tcPr>
            <w:tcW w:type="dxa" w:w="1984"/>
          </w:tcPr>
          <w:p>
            <w:r>
              <w:t>Cash</w:t>
            </w:r>
          </w:p>
        </w:tc>
        <w:tc>
          <w:tcPr>
            <w:tcW w:type="dxa" w:w="3118"/>
          </w:tcPr>
          <w:p>
            <w:r>
              <w:t>4.58</w:t>
            </w:r>
          </w:p>
        </w:tc>
      </w:tr>
    </w:tbl>
    <w:p>
      <w:pPr>
        <w:pStyle w:val="Note"/>
      </w:pPr>
      <w:r>
        <w:t>Inception Date: 22 August 2023</w:t>
      </w:r>
    </w:p>
    <w:p>
      <w:pPr>
        <w:pStyle w:val="Heading3"/>
      </w:pPr>
      <w:r>
        <w:t>Portfolio Construction</w:t>
      </w:r>
    </w:p>
    <w:p>
      <w:r>
        <w:drawing>
          <wp:inline xmlns:a="http://schemas.openxmlformats.org/drawingml/2006/main" xmlns:pic="http://schemas.openxmlformats.org/drawingml/2006/picture">
            <wp:extent cx="3240000" cy="3240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3240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iShares ASX 200</w:t>
            </w:r>
          </w:p>
        </w:tc>
        <w:tc>
          <w:tcPr>
            <w:tcW w:type="dxa" w:w="1417"/>
          </w:tcPr>
          <w:p>
            <w:r>
              <w:t>9.67</w:t>
            </w:r>
          </w:p>
        </w:tc>
        <w:tc>
          <w:tcPr>
            <w:tcW w:type="dxa" w:w="1417"/>
          </w:tcPr>
          <w:p>
            <w:r>
              <w:t>9.3</w:t>
            </w:r>
          </w:p>
        </w:tc>
      </w:tr>
      <w:tr>
        <w:tc>
          <w:tcPr>
            <w:tcW w:type="dxa" w:w="2268"/>
          </w:tcPr>
          <w:p>
            <w:r>
              <w:t>Merlon Conentated AusEq</w:t>
            </w:r>
          </w:p>
        </w:tc>
        <w:tc>
          <w:tcPr>
            <w:tcW w:type="dxa" w:w="1417"/>
          </w:tcPr>
          <w:p>
            <w:r>
              <w:t>6.28</w:t>
            </w:r>
          </w:p>
        </w:tc>
        <w:tc>
          <w:tcPr>
            <w:tcW w:type="dxa" w:w="1417"/>
          </w:tcPr>
          <w:p>
            <w:r>
              <w:t>9.59</w:t>
            </w:r>
          </w:p>
        </w:tc>
      </w:tr>
      <w:tr>
        <w:tc>
          <w:tcPr>
            <w:tcW w:type="dxa" w:w="2268"/>
          </w:tcPr>
          <w:p>
            <w:r>
              <w:rPr>
                <w:b/>
              </w:rPr>
              <w:t>BM: Australian Shares</w:t>
            </w:r>
          </w:p>
        </w:tc>
        <w:tc>
          <w:tcPr>
            <w:tcW w:type="dxa" w:w="1417"/>
          </w:tcPr>
          <w:p>
            <w:r>
              <w:rPr>
                <w:b/>
              </w:rPr>
              <w:t>9.67</w:t>
            </w:r>
          </w:p>
        </w:tc>
        <w:tc>
          <w:tcPr>
            <w:tcW w:type="dxa" w:w="1417"/>
          </w:tcPr>
          <w:p>
            <w:r>
              <w:rPr>
                <w:b/>
              </w:rPr>
              <w:t>9.3</w:t>
            </w:r>
          </w:p>
        </w:tc>
      </w:tr>
      <w:tr>
        <w:tc>
          <w:tcPr>
            <w:tcW w:type="dxa" w:w="2268"/>
          </w:tcPr>
          <w:p>
            <w:r>
              <w:t>VG MSCI World</w:t>
            </w:r>
          </w:p>
        </w:tc>
        <w:tc>
          <w:tcPr>
            <w:tcW w:type="dxa" w:w="1417"/>
          </w:tcPr>
          <w:p>
            <w:r>
              <w:t>13.94</w:t>
            </w:r>
          </w:p>
        </w:tc>
        <w:tc>
          <w:tcPr>
            <w:tcW w:type="dxa" w:w="1417"/>
          </w:tcPr>
          <w:p>
            <w:r>
              <w:t>17.58</w:t>
            </w:r>
          </w:p>
        </w:tc>
      </w:tr>
      <w:tr>
        <w:tc>
          <w:tcPr>
            <w:tcW w:type="dxa" w:w="2268"/>
          </w:tcPr>
          <w:p>
            <w:r>
              <w:t xml:space="preserve">VG MSCI World Hedged </w:t>
            </w:r>
          </w:p>
        </w:tc>
        <w:tc>
          <w:tcPr>
            <w:tcW w:type="dxa" w:w="1417"/>
          </w:tcPr>
          <w:p>
            <w:r>
              <w:t>9.82</w:t>
            </w:r>
          </w:p>
        </w:tc>
        <w:tc>
          <w:tcPr>
            <w:tcW w:type="dxa" w:w="1417"/>
          </w:tcPr>
          <w:p>
            <w:r>
              <w:t>14.74</w:t>
            </w:r>
          </w:p>
        </w:tc>
      </w:tr>
      <w:tr>
        <w:tc>
          <w:tcPr>
            <w:tcW w:type="dxa" w:w="2268"/>
          </w:tcPr>
          <w:p>
            <w:r>
              <w:t>Capital Group New H</w:t>
            </w:r>
          </w:p>
        </w:tc>
        <w:tc>
          <w:tcPr>
            <w:tcW w:type="dxa" w:w="1417"/>
          </w:tcPr>
          <w:p>
            <w:r>
              <w:t>8.15</w:t>
            </w:r>
          </w:p>
        </w:tc>
        <w:tc>
          <w:tcPr>
            <w:tcW w:type="dxa" w:w="1417"/>
          </w:tcPr>
          <w:p>
            <w:r>
              <w:t>12.41</w:t>
            </w:r>
          </w:p>
        </w:tc>
      </w:tr>
      <w:tr>
        <w:tc>
          <w:tcPr>
            <w:tcW w:type="dxa" w:w="2268"/>
          </w:tcPr>
          <w:p>
            <w:r>
              <w:t>Fidelity EM</w:t>
            </w:r>
          </w:p>
        </w:tc>
        <w:tc>
          <w:tcPr>
            <w:tcW w:type="dxa" w:w="1417"/>
          </w:tcPr>
          <w:p>
            <w:r>
              <w:t>3.78</w:t>
            </w:r>
          </w:p>
        </w:tc>
        <w:tc>
          <w:tcPr>
            <w:tcW w:type="dxa" w:w="1417"/>
          </w:tcPr>
          <w:p>
            <w:r>
              <w:t>4.52</w:t>
            </w:r>
          </w:p>
        </w:tc>
      </w:tr>
      <w:tr>
        <w:tc>
          <w:tcPr>
            <w:tcW w:type="dxa" w:w="2268"/>
          </w:tcPr>
          <w:p>
            <w:r>
              <w:t>CapGroup New Persp</w:t>
            </w:r>
          </w:p>
        </w:tc>
        <w:tc>
          <w:tcPr>
            <w:tcW w:type="dxa" w:w="1417"/>
          </w:tcPr>
          <w:p>
            <w:r>
              <w:t>12.91</w:t>
            </w:r>
          </w:p>
        </w:tc>
        <w:tc>
          <w:tcPr>
            <w:tcW w:type="dxa" w:w="1417"/>
          </w:tcPr>
          <w:p>
            <w:r>
              <w:t>15.88</w:t>
            </w:r>
          </w:p>
        </w:tc>
      </w:tr>
      <w:tr>
        <w:tc>
          <w:tcPr>
            <w:tcW w:type="dxa" w:w="2268"/>
          </w:tcPr>
          <w:p>
            <w:r>
              <w:t>VG Int Smalls</w:t>
            </w:r>
          </w:p>
        </w:tc>
        <w:tc>
          <w:tcPr>
            <w:tcW w:type="dxa" w:w="1417"/>
          </w:tcPr>
          <w:p>
            <w:r>
              <w:t>7.5</w:t>
            </w:r>
          </w:p>
        </w:tc>
        <w:tc>
          <w:tcPr>
            <w:tcW w:type="dxa" w:w="1417"/>
          </w:tcPr>
          <w:p>
            <w:r>
              <w:t>10.36</w:t>
            </w:r>
          </w:p>
        </w:tc>
      </w:tr>
      <w:tr>
        <w:tc>
          <w:tcPr>
            <w:tcW w:type="dxa" w:w="2268"/>
          </w:tcPr>
          <w:p>
            <w:r>
              <w:rPr>
                <w:b/>
              </w:rPr>
              <w:t>BM: International Shares</w:t>
            </w:r>
          </w:p>
        </w:tc>
        <w:tc>
          <w:tcPr>
            <w:tcW w:type="dxa" w:w="1417"/>
          </w:tcPr>
          <w:p>
            <w:r>
              <w:rPr>
                <w:b/>
              </w:rPr>
              <w:t>13.63</w:t>
            </w:r>
          </w:p>
        </w:tc>
        <w:tc>
          <w:tcPr>
            <w:tcW w:type="dxa" w:w="1417"/>
          </w:tcPr>
          <w:p>
            <w:r>
              <w:rPr>
                <w:b/>
              </w:rPr>
              <w:t>16.6</w:t>
            </w:r>
          </w:p>
        </w:tc>
      </w:tr>
      <w:tr>
        <w:tc>
          <w:tcPr>
            <w:tcW w:type="dxa" w:w="2268"/>
          </w:tcPr>
          <w:p>
            <w:r>
              <w:t>VanEck Glb Infra H</w:t>
            </w:r>
          </w:p>
        </w:tc>
        <w:tc>
          <w:tcPr>
            <w:tcW w:type="dxa" w:w="1417"/>
          </w:tcPr>
          <w:p>
            <w:r>
              <w:t>17.66</w:t>
            </w:r>
          </w:p>
        </w:tc>
        <w:tc>
          <w:tcPr>
            <w:tcW w:type="dxa" w:w="1417"/>
          </w:tcPr>
          <w:p>
            <w:r>
              <w:t>6.89</w:t>
            </w:r>
          </w:p>
        </w:tc>
      </w:tr>
      <w:tr>
        <w:tc>
          <w:tcPr>
            <w:tcW w:type="dxa" w:w="2268"/>
          </w:tcPr>
          <w:p>
            <w:r>
              <w:t>RARE Infra Income</w:t>
            </w:r>
          </w:p>
        </w:tc>
        <w:tc>
          <w:tcPr>
            <w:tcW w:type="dxa" w:w="1417"/>
          </w:tcPr>
          <w:p>
            <w:r>
              <w:t>23.23</w:t>
            </w:r>
          </w:p>
        </w:tc>
        <w:tc>
          <w:tcPr>
            <w:tcW w:type="dxa" w:w="1417"/>
          </w:tcPr>
          <w:p>
            <w:r>
              <w:t>7.81</w:t>
            </w:r>
          </w:p>
        </w:tc>
      </w:tr>
      <w:tr>
        <w:tc>
          <w:tcPr>
            <w:tcW w:type="dxa" w:w="2268"/>
          </w:tcPr>
          <w:p>
            <w:r>
              <w:t>Qualitas Prop Inc</w:t>
            </w:r>
          </w:p>
        </w:tc>
        <w:tc>
          <w:tcPr>
            <w:tcW w:type="dxa" w:w="1417"/>
          </w:tcPr>
          <w:p>
            <w:r>
              <w:t>8.67</w:t>
            </w:r>
          </w:p>
        </w:tc>
        <w:tc>
          <w:tcPr>
            <w:tcW w:type="dxa" w:w="1417"/>
          </w:tcPr>
          <w:p>
            <w:r>
              <w:t>14.45</w:t>
            </w:r>
          </w:p>
        </w:tc>
      </w:tr>
      <w:tr>
        <w:tc>
          <w:tcPr>
            <w:tcW w:type="dxa" w:w="2268"/>
          </w:tcPr>
          <w:p>
            <w:r>
              <w:rPr>
                <w:b/>
              </w:rPr>
              <w:t>BM: Real Assets</w:t>
            </w:r>
          </w:p>
        </w:tc>
        <w:tc>
          <w:tcPr>
            <w:tcW w:type="dxa" w:w="1417"/>
          </w:tcPr>
          <w:p>
            <w:r>
              <w:rPr>
                <w:b/>
              </w:rPr>
              <w:t>8.81</w:t>
            </w:r>
          </w:p>
        </w:tc>
        <w:tc>
          <w:tcPr>
            <w:tcW w:type="dxa" w:w="1417"/>
          </w:tcPr>
          <w:p>
            <w:r>
              <w:rPr>
                <w:b/>
              </w:rPr>
              <w:t>5.94</w:t>
            </w:r>
          </w:p>
        </w:tc>
      </w:tr>
      <w:tr>
        <w:tc>
          <w:tcPr>
            <w:tcW w:type="dxa" w:w="2268"/>
          </w:tcPr>
          <w:p>
            <w:r>
              <w:t>ETFS Physical Gold</w:t>
            </w:r>
          </w:p>
        </w:tc>
        <w:tc>
          <w:tcPr>
            <w:tcW w:type="dxa" w:w="1417"/>
          </w:tcPr>
          <w:p>
            <w:r>
              <w:t>44.67</w:t>
            </w:r>
          </w:p>
        </w:tc>
        <w:tc>
          <w:tcPr>
            <w:tcW w:type="dxa" w:w="1417"/>
          </w:tcPr>
          <w:p>
            <w:r>
              <w:t>27.13</w:t>
            </w:r>
          </w:p>
        </w:tc>
      </w:tr>
      <w:tr>
        <w:tc>
          <w:tcPr>
            <w:tcW w:type="dxa" w:w="2268"/>
          </w:tcPr>
          <w:p>
            <w:r>
              <w:t>Janus Gbl Multi Strat</w:t>
            </w:r>
          </w:p>
        </w:tc>
        <w:tc>
          <w:tcPr>
            <w:tcW w:type="dxa" w:w="1417"/>
          </w:tcPr>
          <w:p>
            <w:r>
              <w:t>5.54</w:t>
            </w:r>
          </w:p>
        </w:tc>
        <w:tc>
          <w:tcPr>
            <w:tcW w:type="dxa" w:w="1417"/>
          </w:tcPr>
          <w:p>
            <w:r>
              <w:t>3.27</w:t>
            </w:r>
          </w:p>
        </w:tc>
      </w:tr>
      <w:tr>
        <w:tc>
          <w:tcPr>
            <w:tcW w:type="dxa" w:w="2268"/>
          </w:tcPr>
          <w:p>
            <w:r>
              <w:rPr>
                <w:b/>
              </w:rPr>
              <w:t>BM: Alternatives</w:t>
            </w:r>
          </w:p>
        </w:tc>
        <w:tc>
          <w:tcPr>
            <w:tcW w:type="dxa" w:w="1417"/>
          </w:tcPr>
          <w:p>
            <w:r>
              <w:rPr>
                <w:b/>
              </w:rPr>
              <w:t>4.57</w:t>
            </w:r>
          </w:p>
        </w:tc>
        <w:tc>
          <w:tcPr>
            <w:tcW w:type="dxa" w:w="1417"/>
          </w:tcPr>
          <w:p>
            <w:r>
              <w:rPr>
                <w:b/>
              </w:rPr>
              <w:t>4.46</w:t>
            </w:r>
          </w:p>
        </w:tc>
      </w:tr>
      <w:tr>
        <w:tc>
          <w:tcPr>
            <w:tcW w:type="dxa" w:w="2268"/>
          </w:tcPr>
          <w:p>
            <w:r>
              <w:t>iShares Aus Bond</w:t>
            </w:r>
          </w:p>
        </w:tc>
        <w:tc>
          <w:tcPr>
            <w:tcW w:type="dxa" w:w="1417"/>
          </w:tcPr>
          <w:p>
            <w:r>
              <w:t>7.0</w:t>
            </w:r>
          </w:p>
        </w:tc>
        <w:tc>
          <w:tcPr>
            <w:tcW w:type="dxa" w:w="1417"/>
          </w:tcPr>
          <w:p>
            <w:r>
              <w:t>3.02</w:t>
            </w:r>
          </w:p>
        </w:tc>
      </w:tr>
      <w:tr>
        <w:tc>
          <w:tcPr>
            <w:tcW w:type="dxa" w:w="2268"/>
          </w:tcPr>
          <w:p>
            <w:r>
              <w:t>VG Global Agg</w:t>
            </w:r>
          </w:p>
        </w:tc>
        <w:tc>
          <w:tcPr>
            <w:tcW w:type="dxa" w:w="1417"/>
          </w:tcPr>
          <w:p>
            <w:r>
              <w:t>6.28</w:t>
            </w:r>
          </w:p>
        </w:tc>
        <w:tc>
          <w:tcPr>
            <w:tcW w:type="dxa" w:w="1417"/>
          </w:tcPr>
          <w:p>
            <w:r>
              <w:t>3.15</w:t>
            </w:r>
          </w:p>
        </w:tc>
      </w:tr>
      <w:tr>
        <w:tc>
          <w:tcPr>
            <w:tcW w:type="dxa" w:w="2268"/>
          </w:tcPr>
          <w:p>
            <w:r>
              <w:t>iShares Aus Bond</w:t>
            </w:r>
          </w:p>
        </w:tc>
        <w:tc>
          <w:tcPr>
            <w:tcW w:type="dxa" w:w="1417"/>
          </w:tcPr>
          <w:p>
            <w:r>
              <w:t>5.47</w:t>
            </w:r>
          </w:p>
        </w:tc>
        <w:tc>
          <w:tcPr>
            <w:tcW w:type="dxa" w:w="1417"/>
          </w:tcPr>
          <w:p>
            <w:r>
              <w:t>2.29</w:t>
            </w:r>
          </w:p>
        </w:tc>
      </w:tr>
      <w:tr>
        <w:tc>
          <w:tcPr>
            <w:tcW w:type="dxa" w:w="2268"/>
          </w:tcPr>
          <w:p>
            <w:r>
              <w:t>iShares Glb Bond</w:t>
            </w:r>
          </w:p>
        </w:tc>
        <w:tc>
          <w:tcPr>
            <w:tcW w:type="dxa" w:w="1417"/>
          </w:tcPr>
          <w:p>
            <w:r>
              <w:t>4.44</w:t>
            </w:r>
          </w:p>
        </w:tc>
        <w:tc>
          <w:tcPr>
            <w:tcW w:type="dxa" w:w="1417"/>
          </w:tcPr>
          <w:p>
            <w:r>
              <w:t>2.32</w:t>
            </w:r>
          </w:p>
        </w:tc>
      </w:tr>
      <w:tr>
        <w:tc>
          <w:tcPr>
            <w:tcW w:type="dxa" w:w="2268"/>
          </w:tcPr>
          <w:p>
            <w:r>
              <w:rPr>
                <w:b/>
              </w:rPr>
              <w:t>BM: Duration</w:t>
            </w:r>
          </w:p>
        </w:tc>
        <w:tc>
          <w:tcPr>
            <w:tcW w:type="dxa" w:w="1417"/>
          </w:tcPr>
          <w:p>
            <w:r>
              <w:rPr>
                <w:b/>
              </w:rPr>
              <w:t>6.68</w:t>
            </w:r>
          </w:p>
        </w:tc>
        <w:tc>
          <w:tcPr>
            <w:tcW w:type="dxa" w:w="1417"/>
          </w:tcPr>
          <w:p>
            <w:r>
              <w:rPr>
                <w:b/>
              </w:rPr>
              <w:t>3.1</w:t>
            </w:r>
          </w:p>
        </w:tc>
      </w:tr>
      <w:tr>
        <w:tc>
          <w:tcPr>
            <w:tcW w:type="dxa" w:w="2268"/>
          </w:tcPr>
          <w:p>
            <w:r>
              <w:t>VanEck FRN</w:t>
            </w:r>
          </w:p>
        </w:tc>
        <w:tc>
          <w:tcPr>
            <w:tcW w:type="dxa" w:w="1417"/>
          </w:tcPr>
          <w:p>
            <w:r>
              <w:t>4.97</w:t>
            </w:r>
          </w:p>
        </w:tc>
        <w:tc>
          <w:tcPr>
            <w:tcW w:type="dxa" w:w="1417"/>
          </w:tcPr>
          <w:p>
            <w:r>
              <w:t>5.09</w:t>
            </w:r>
          </w:p>
        </w:tc>
      </w:tr>
      <w:tr>
        <w:tc>
          <w:tcPr>
            <w:tcW w:type="dxa" w:w="2268"/>
          </w:tcPr>
          <w:p>
            <w:r>
              <w:t>Janus Tactical Inc</w:t>
            </w:r>
          </w:p>
        </w:tc>
        <w:tc>
          <w:tcPr>
            <w:tcW w:type="dxa" w:w="1417"/>
          </w:tcPr>
          <w:p>
            <w:r>
              <w:t>6.24</w:t>
            </w:r>
          </w:p>
        </w:tc>
        <w:tc>
          <w:tcPr>
            <w:tcW w:type="dxa" w:w="1417"/>
          </w:tcPr>
          <w:p>
            <w:r>
              <w:t>5.85</w:t>
            </w:r>
          </w:p>
        </w:tc>
      </w:tr>
      <w:tr>
        <w:tc>
          <w:tcPr>
            <w:tcW w:type="dxa" w:w="2268"/>
          </w:tcPr>
          <w:p>
            <w:r>
              <w:rPr>
                <w:b/>
              </w:rPr>
              <w:t>BM: Floating</w:t>
            </w:r>
          </w:p>
        </w:tc>
        <w:tc>
          <w:tcPr>
            <w:tcW w:type="dxa" w:w="1417"/>
          </w:tcPr>
          <w:p>
            <w:r>
              <w:rPr>
                <w:b/>
              </w:rPr>
              <w:t>4.97</w:t>
            </w:r>
          </w:p>
        </w:tc>
        <w:tc>
          <w:tcPr>
            <w:tcW w:type="dxa" w:w="1417"/>
          </w:tcPr>
          <w:p>
            <w:r>
              <w:rPr>
                <w:b/>
              </w:rPr>
              <w:t>5.09</w:t>
            </w:r>
          </w:p>
        </w:tc>
      </w:tr>
      <w:tr>
        <w:tc>
          <w:tcPr>
            <w:tcW w:type="dxa" w:w="2268"/>
          </w:tcPr>
          <w:p>
            <w:r>
              <w:t>Cash</w:t>
            </w:r>
          </w:p>
        </w:tc>
        <w:tc>
          <w:tcPr>
            <w:tcW w:type="dxa" w:w="1417"/>
          </w:tcPr>
          <w:p>
            <w:r>
              <w:t>4.57</w:t>
            </w:r>
          </w:p>
        </w:tc>
        <w:tc>
          <w:tcPr>
            <w:tcW w:type="dxa" w:w="1417"/>
          </w:tcPr>
          <w:p>
            <w:r>
              <w:t>4.46</w:t>
            </w:r>
          </w:p>
        </w:tc>
      </w:tr>
    </w:tbl>
    <w:p>
      <w:pPr>
        <w:pStyle w:val="Note"/>
      </w:pPr>
      <w:r>
        <w:t>Inception Date: 22 August 2023</w:t>
      </w:r>
    </w:p>
    <w:p>
      <w:pPr>
        <w:pStyle w:val="BodyStyle"/>
      </w:pPr>
      <w:r>
        <w:t>Underlying investment manager returns are shown after fees and before tax</w:t>
      </w:r>
    </w:p>
    <w:br w:type="column"/>
    <w:p>
      <w:pPr>
        <w:pStyle w:val="Heading2"/>
      </w:pPr>
      <w:r>
        <w:t>Market Update</w:t>
      </w:r>
    </w:p>
    <w:p>
      <w:pPr>
        <w:pStyle w:val="BodyStyle"/>
      </w:pPr>
      <w:r>
        <w:t>Australian share market recorded its first monthly gain since January returning 3.6% for the month of April and 9.8% for the 12 months. The Australia market followed the lead from the US share market on news of trade deals.</w:t>
        <w:br/>
        <w:br/>
        <w:t>Australia copped a 10% US tariff on our exports, however only 5% of Australian exports go to the US. The bigger threat to Australian exports comes from reduced exports to China and Asia.</w:t>
        <w:br/>
        <w:br/>
        <w:t>10 out of 11 sectors in the S&amp;P/ASX 200 posted gains, led by Communication Services, Information Technology and Consumer Discretionary, each rising by 6%. Energy was the only sector to report a loss.</w:t>
        <w:br/>
        <w:br/>
        <w:t>China's manufacturing sector contracted in April, with the official PMI falling to 49.0, its lowest since December 2023, due to escalating U.S. tariffs and weakening export demand.</w:t>
        <w:br/>
        <w:br/>
        <w:t>Trump placed eye-watering 145% tariff on China but for most other nations a 90-day pause on reciprocal tariffs, leaving a 10% universal tariff in place.</w:t>
        <w:br/>
        <w:br/>
        <w:t>Global share markets plunged at the beginning of the month on worries about a full-blown trade war, The Trump Dump initially caused US shares to fall 17%, 16% globally and 10% in Australia. While gold surged to new highs.</w:t>
        <w:br/>
        <w:br/>
        <w:t>The Federal Open Market Committee (FOMC) left the Federal Funds Rate unchanged at the range of 4.25 – 4.50% at the March meeting and projected two rate cuts later this year.</w:t>
        <w:br/>
        <w:br/>
        <w:t xml:space="preserve">The RBA left interest rates on hold at 4.10%, but is expected to engage in another rate cut of 0.25% in May. Australia’s headline inflation (total inflation) remained steady in Q1 2025 at 2.4% annually, within the target band of 2 – 3%. </w:t>
        <w:br/>
        <w:br/>
        <w:t>Most fixed income indices advanced as rates declined on weaker economic growth expectations. The Australian Government 0+ index was among the best performers, rising by 2% for the month, with the index's yield falling to 4%.</w:t>
        <w:br/>
        <w:br/>
        <w:t>Gold maintained its winning streak in 2025, reaching historic peak of US$3,500 per ounce before experiencing volatility. A significant driver behind’s gold’s stellar performance has been the substantial decline in the US dollar.</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9681" w14:textId="77777777" w:rsidR="0057307B" w:rsidRDefault="0057307B" w:rsidP="007B4373">
      <w:r>
        <w:separator/>
      </w:r>
    </w:p>
  </w:endnote>
  <w:endnote w:type="continuationSeparator" w:id="0">
    <w:p w14:paraId="07388762" w14:textId="77777777" w:rsidR="0057307B" w:rsidRDefault="0057307B"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B59F" w14:textId="77777777" w:rsidR="0057307B" w:rsidRDefault="0057307B" w:rsidP="007B4373">
      <w:r>
        <w:separator/>
      </w:r>
    </w:p>
  </w:footnote>
  <w:footnote w:type="continuationSeparator" w:id="0">
    <w:p w14:paraId="07B001D8" w14:textId="77777777" w:rsidR="0057307B" w:rsidRDefault="0057307B"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3930"/>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07B"/>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6C82"/>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747A6"/>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0E3930"/>
    <w:pPr>
      <w:numPr>
        <w:numId w:val="0"/>
      </w:numPr>
    </w:pPr>
    <w:rPr>
      <w:color w:val="F17C11" w:themeColor="accent2"/>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0E3930"/>
    <w:rPr>
      <w:color w:val="F17C11" w:themeColor="accen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160</cp:revision>
  <cp:lastPrinted>2022-04-29T02:04:00Z</cp:lastPrinted>
  <dcterms:created xsi:type="dcterms:W3CDTF">2022-07-06T04:09:00Z</dcterms:created>
  <dcterms:modified xsi:type="dcterms:W3CDTF">2025-02-06T10:28:00Z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