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Murray Irrigation Reserve</w:t>
      </w:r>
      <w:r>
        <w:tab/>
      </w:r>
      <w:r>
        <w:t>31 January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w:t>
            </w:r>
          </w:p>
        </w:tc>
      </w:tr>
      <w:tr>
        <w:tc>
          <w:tcPr>
            <w:tcW w:type="dxa" w:w="2551"/>
          </w:tcPr>
          <w:p>
            <w:r>
              <w:t>MurrayIrrigation</w:t>
            </w:r>
          </w:p>
        </w:tc>
        <w:tc>
          <w:tcPr>
            <w:tcW w:type="dxa" w:w="1644"/>
          </w:tcPr>
          <w:p>
            <w:r>
              <w:rPr>
                <w:b/>
              </w:rPr>
              <w:t>5.05</w:t>
            </w:r>
          </w:p>
        </w:tc>
        <w:tc>
          <w:tcPr>
            <w:tcW w:type="dxa" w:w="1644"/>
          </w:tcPr>
          <w:p>
            <w:r>
              <w:rPr>
                <w:b/>
              </w:rPr>
              <w:t>7.26</w:t>
            </w:r>
          </w:p>
        </w:tc>
        <w:tc>
          <w:tcPr>
            <w:tcW w:type="dxa" w:w="1644"/>
          </w:tcPr>
          <w:p>
            <w:r>
              <w:rPr>
                <w:b/>
              </w:rPr>
              <w:t>16.76</w:t>
            </w:r>
          </w:p>
        </w:tc>
        <w:tc>
          <w:tcPr>
            <w:tcW w:type="dxa" w:w="1644"/>
          </w:tcPr>
          <w:p>
            <w:r>
              <w:rPr>
                <w:b/>
              </w:rPr>
              <w:t>13.05</w:t>
            </w:r>
          </w:p>
        </w:tc>
        <w:tc>
          <w:tcPr>
            <w:tcW w:type="dxa" w:w="1644"/>
          </w:tcPr>
          <w:p>
            <w:r>
              <w:rPr>
                <w:b/>
              </w:rPr>
              <w:t>13.84</w:t>
            </w:r>
          </w:p>
        </w:tc>
      </w:tr>
      <w:tr>
        <w:tc>
          <w:tcPr>
            <w:tcW w:type="dxa" w:w="2551"/>
          </w:tcPr>
          <w:p>
            <w:r>
              <w:t>Peer Group</w:t>
            </w:r>
          </w:p>
        </w:tc>
        <w:tc>
          <w:tcPr>
            <w:tcW w:type="dxa" w:w="1644"/>
          </w:tcPr>
          <w:p>
            <w:r>
              <w:t>3.94</w:t>
            </w:r>
          </w:p>
        </w:tc>
        <w:tc>
          <w:tcPr>
            <w:tcW w:type="dxa" w:w="1644"/>
          </w:tcPr>
          <w:p>
            <w:r>
              <w:t>5.65</w:t>
            </w:r>
          </w:p>
        </w:tc>
        <w:tc>
          <w:tcPr>
            <w:tcW w:type="dxa" w:w="1644"/>
          </w:tcPr>
          <w:p>
            <w:r>
              <w:t>12.89</w:t>
            </w:r>
          </w:p>
        </w:tc>
        <w:tc>
          <w:tcPr>
            <w:tcW w:type="dxa" w:w="1644"/>
          </w:tcPr>
          <w:p>
            <w:r>
              <w:t>10.28</w:t>
            </w:r>
          </w:p>
        </w:tc>
        <w:tc>
          <w:tcPr>
            <w:tcW w:type="dxa" w:w="1644"/>
          </w:tcPr>
          <w:p>
            <w:r>
              <w:t>10.73</w:t>
            </w:r>
          </w:p>
        </w:tc>
      </w:tr>
      <w:tr>
        <w:tc>
          <w:tcPr>
            <w:tcW w:type="dxa" w:w="2551"/>
          </w:tcPr>
          <w:p>
            <w:r>
              <w:t>Inflation</w:t>
            </w:r>
          </w:p>
        </w:tc>
        <w:tc>
          <w:tcPr>
            <w:tcW w:type="dxa" w:w="1644"/>
          </w:tcPr>
          <w:p>
            <w:r>
              <w:t>0.0</w:t>
            </w:r>
          </w:p>
        </w:tc>
        <w:tc>
          <w:tcPr>
            <w:tcW w:type="dxa" w:w="1644"/>
          </w:tcPr>
          <w:p>
            <w:r>
              <w:t>0.55</w:t>
            </w:r>
          </w:p>
        </w:tc>
        <w:tc>
          <w:tcPr>
            <w:tcW w:type="dxa" w:w="1644"/>
          </w:tcPr>
          <w:p>
            <w:r>
              <w:t>2.78</w:t>
            </w:r>
          </w:p>
        </w:tc>
        <w:tc>
          <w:tcPr>
            <w:tcW w:type="dxa" w:w="1644"/>
          </w:tcPr>
          <w:p>
            <w:r>
              <w:t>3.43</w:t>
            </w:r>
          </w:p>
        </w:tc>
        <w:tc>
          <w:tcPr>
            <w:tcW w:type="dxa" w:w="1644"/>
          </w:tcPr>
          <w:p>
            <w:r>
              <w:t>4.11</w:t>
            </w:r>
          </w:p>
        </w:tc>
      </w:tr>
      <w:tr>
        <w:tc>
          <w:tcPr>
            <w:tcW w:type="dxa" w:w="2551"/>
          </w:tcPr>
          <w:p>
            <w:r>
              <w:t>Outperformance vs Peers</w:t>
            </w:r>
          </w:p>
        </w:tc>
        <w:tc>
          <w:tcPr>
            <w:tcW w:type="dxa" w:w="1644"/>
          </w:tcPr>
          <w:p>
            <w:r>
              <w:t>1.11</w:t>
            </w:r>
          </w:p>
        </w:tc>
        <w:tc>
          <w:tcPr>
            <w:tcW w:type="dxa" w:w="1644"/>
          </w:tcPr>
          <w:p>
            <w:r>
              <w:t>1.61</w:t>
            </w:r>
          </w:p>
        </w:tc>
        <w:tc>
          <w:tcPr>
            <w:tcW w:type="dxa" w:w="1644"/>
          </w:tcPr>
          <w:p>
            <w:r>
              <w:t>3.87</w:t>
            </w:r>
          </w:p>
        </w:tc>
        <w:tc>
          <w:tcPr>
            <w:tcW w:type="dxa" w:w="1644"/>
          </w:tcPr>
          <w:p>
            <w:r>
              <w:t>2.76</w:t>
            </w:r>
          </w:p>
        </w:tc>
        <w:tc>
          <w:tcPr>
            <w:tcW w:type="dxa" w:w="1644"/>
          </w:tcPr>
          <w:p>
            <w:r>
              <w:t>3.12</w:t>
            </w:r>
          </w:p>
        </w:tc>
      </w:tr>
      <w:tr>
        <w:tc>
          <w:tcPr>
            <w:tcW w:type="dxa" w:w="2551"/>
          </w:tcPr>
          <w:p>
            <w:r>
              <w:t>Outperformance vs Inflation</w:t>
            </w:r>
          </w:p>
        </w:tc>
        <w:tc>
          <w:tcPr>
            <w:tcW w:type="dxa" w:w="1644"/>
          </w:tcPr>
          <w:p>
            <w:r>
              <w:t>5.05</w:t>
            </w:r>
          </w:p>
        </w:tc>
        <w:tc>
          <w:tcPr>
            <w:tcW w:type="dxa" w:w="1644"/>
          </w:tcPr>
          <w:p>
            <w:r>
              <w:t>6.71</w:t>
            </w:r>
          </w:p>
        </w:tc>
        <w:tc>
          <w:tcPr>
            <w:tcW w:type="dxa" w:w="1644"/>
          </w:tcPr>
          <w:p>
            <w:r>
              <w:t>13.99</w:t>
            </w:r>
          </w:p>
        </w:tc>
        <w:tc>
          <w:tcPr>
            <w:tcW w:type="dxa" w:w="1644"/>
          </w:tcPr>
          <w:p>
            <w:r>
              <w:t>9.61</w:t>
            </w:r>
          </w:p>
        </w:tc>
        <w:tc>
          <w:tcPr>
            <w:tcW w:type="dxa" w:w="1644"/>
          </w:tcPr>
          <w:p>
            <w:r>
              <w:t>9.74</w:t>
            </w:r>
          </w:p>
        </w:tc>
      </w:tr>
    </w:tbl>
    <w:p>
      <w:pPr>
        <w:pStyle w:val="Note"/>
      </w:pPr>
      <w:r>
        <w:t>Inception Date: 30 June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nan</w:t>
      </w:r>
    </w:p>
    <w:p>
      <w:pPr>
        <w:pStyle w:val="Heading20"/>
      </w:pPr>
      <w:r>
        <w:t>Strategy Overview</w:t>
      </w:r>
    </w:p>
    <w:p>
      <w:pPr>
        <w:pStyle w:val="BodyStyle"/>
      </w:pPr>
      <w:r>
        <w:t>nan</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MurrayIrrigation</w:t>
            </w:r>
          </w:p>
        </w:tc>
      </w:tr>
      <w:tr>
        <w:tc>
          <w:tcPr>
            <w:tcW w:type="dxa" w:w="2268"/>
          </w:tcPr>
          <w:p>
            <w:r>
              <w:t>Benchmark</w:t>
            </w:r>
          </w:p>
        </w:tc>
        <w:tc>
          <w:tcPr>
            <w:tcW w:type="dxa" w:w="3118"/>
          </w:tcPr>
          <w:p>
            <w:r>
              <w:t>nan</w:t>
            </w:r>
          </w:p>
        </w:tc>
      </w:tr>
      <w:tr>
        <w:tc>
          <w:tcPr>
            <w:tcW w:type="dxa" w:w="2268"/>
          </w:tcPr>
          <w:p>
            <w:r>
              <w:t>Inception Date</w:t>
            </w:r>
          </w:p>
        </w:tc>
        <w:tc>
          <w:tcPr>
            <w:tcW w:type="dxa" w:w="3118"/>
          </w:tcPr>
          <w:p>
            <w:r>
              <w:t>30 June 2022</w:t>
            </w:r>
          </w:p>
        </w:tc>
      </w:tr>
      <w:tr>
        <w:tc>
          <w:tcPr>
            <w:tcW w:type="dxa" w:w="2268"/>
          </w:tcPr>
          <w:p>
            <w:r>
              <w:t>Investment Horizon</w:t>
            </w:r>
          </w:p>
        </w:tc>
        <w:tc>
          <w:tcPr>
            <w:tcW w:type="dxa" w:w="3118"/>
          </w:tcPr>
          <w:p>
            <w:r>
              <w:t>nan</w:t>
            </w:r>
          </w:p>
        </w:tc>
      </w:tr>
      <w:tr>
        <w:tc>
          <w:tcPr>
            <w:tcW w:type="dxa" w:w="2268"/>
          </w:tcPr>
          <w:p>
            <w:r>
              <w:t>Risk Level (SRM)</w:t>
            </w:r>
          </w:p>
        </w:tc>
        <w:tc>
          <w:tcPr>
            <w:tcW w:type="dxa" w:w="3118"/>
          </w:tcPr>
          <w:p>
            <w:r>
              <w:t>nan</w:t>
            </w:r>
          </w:p>
        </w:tc>
      </w:tr>
      <w:tr>
        <w:tc>
          <w:tcPr>
            <w:tcW w:type="dxa" w:w="2268"/>
          </w:tcPr>
          <w:p>
            <w:r>
              <w:t>Min Investment</w:t>
            </w:r>
          </w:p>
        </w:tc>
        <w:tc>
          <w:tcPr>
            <w:tcW w:type="dxa" w:w="3118"/>
          </w:tcPr>
          <w:p>
            <w:r>
              <w:t>nan</w:t>
            </w:r>
          </w:p>
        </w:tc>
      </w:tr>
      <w:tr>
        <w:tc>
          <w:tcPr>
            <w:tcW w:type="dxa" w:w="2268"/>
          </w:tcPr>
          <w:p>
            <w:r>
              <w:t>Product Fee</w:t>
            </w:r>
          </w:p>
        </w:tc>
        <w:tc>
          <w:tcPr>
            <w:tcW w:type="dxa" w:w="3118"/>
          </w:tcPr>
          <w:p>
            <w:r>
              <w:t>nan</w:t>
            </w:r>
          </w:p>
        </w:tc>
      </w:tr>
      <w:tr>
        <w:tc>
          <w:tcPr>
            <w:tcW w:type="dxa" w:w="2268"/>
          </w:tcPr>
          <w:p>
            <w:r>
              <w:t>Underlying MER</w:t>
            </w:r>
          </w:p>
        </w:tc>
        <w:tc>
          <w:tcPr>
            <w:tcW w:type="dxa" w:w="3118"/>
          </w:tcPr>
          <w:p>
            <w:r>
              <w:t>nan</w:t>
            </w:r>
          </w:p>
        </w:tc>
      </w:tr>
      <w:tr>
        <w:tc>
          <w:tcPr>
            <w:tcW w:type="dxa" w:w="2268"/>
          </w:tcPr>
          <w:p>
            <w:r>
              <w:t>Underlying Perf Fees</w:t>
            </w:r>
          </w:p>
        </w:tc>
        <w:tc>
          <w:tcPr>
            <w:tcW w:type="dxa" w:w="3118"/>
          </w:tcPr>
          <w:p>
            <w:r>
              <w:t>nan</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34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34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2764"/>
        <w:gridCol w:w="2764"/>
        <w:gridCol w:w="2764"/>
        <w:gridCol w:w="2764"/>
      </w:tblGrid>
      <w:tr>
        <w:tc>
          <w:tcPr>
            <w:tcW w:type="dxa" w:w="1984"/>
          </w:tcPr>
          <w:p>
            <w:r>
              <w:rPr>
                <w:b/>
              </w:rPr>
              <w:t>Period</w:t>
            </w:r>
          </w:p>
        </w:tc>
        <w:tc>
          <w:tcPr>
            <w:tcW w:type="dxa" w:w="1039"/>
          </w:tcPr>
          <w:p>
            <w:r>
              <w:rPr>
                <w:b/>
              </w:rPr>
              <w:t>1 Year</w:t>
            </w:r>
          </w:p>
        </w:tc>
        <w:tc>
          <w:tcPr>
            <w:tcW w:type="dxa" w:w="1039"/>
          </w:tcPr>
          <w:p>
            <w:r>
              <w:rPr>
                <w:b/>
              </w:rPr>
              <w:t>2 Years (p.a.)</w:t>
            </w:r>
          </w:p>
        </w:tc>
        <w:tc>
          <w:tcPr>
            <w:tcW w:type="dxa" w:w="1039"/>
          </w:tcPr>
          <w:p>
            <w:r>
              <w:rPr>
                <w:b/>
              </w:rPr>
              <w:t>Since Inception</w:t>
            </w:r>
          </w:p>
        </w:tc>
      </w:tr>
      <w:tr>
        <w:tc>
          <w:tcPr>
            <w:tcW w:type="dxa" w:w="1984"/>
          </w:tcPr>
          <w:p>
            <w:r>
              <w:t>Australian Shares</w:t>
            </w:r>
          </w:p>
        </w:tc>
        <w:tc>
          <w:tcPr>
            <w:tcW w:type="dxa" w:w="1039"/>
          </w:tcPr>
          <w:p>
            <w:r>
              <w:t>14.49</w:t>
            </w:r>
          </w:p>
        </w:tc>
        <w:tc>
          <w:tcPr>
            <w:tcW w:type="dxa" w:w="1039"/>
          </w:tcPr>
          <w:p>
            <w:r>
              <w:t>10.21</w:t>
            </w:r>
          </w:p>
        </w:tc>
        <w:tc>
          <w:tcPr>
            <w:tcW w:type="dxa" w:w="1039"/>
          </w:tcPr>
          <w:p>
            <w:r>
              <w:t>14.12</w:t>
            </w:r>
          </w:p>
        </w:tc>
      </w:tr>
      <w:tr>
        <w:tc>
          <w:tcPr>
            <w:tcW w:type="dxa" w:w="1984"/>
          </w:tcPr>
          <w:p>
            <w:r>
              <w:t>International Shares</w:t>
            </w:r>
          </w:p>
        </w:tc>
        <w:tc>
          <w:tcPr>
            <w:tcW w:type="dxa" w:w="1039"/>
          </w:tcPr>
          <w:p>
            <w:r>
              <w:t>25.25</w:t>
            </w:r>
          </w:p>
        </w:tc>
        <w:tc>
          <w:tcPr>
            <w:tcW w:type="dxa" w:w="1039"/>
          </w:tcPr>
          <w:p>
            <w:r>
              <w:t>20.65</w:t>
            </w:r>
          </w:p>
        </w:tc>
        <w:tc>
          <w:tcPr>
            <w:tcW w:type="dxa" w:w="1039"/>
          </w:tcPr>
          <w:p>
            <w:r>
              <w:t>17.8</w:t>
            </w:r>
          </w:p>
        </w:tc>
      </w:tr>
      <w:tr>
        <w:tc>
          <w:tcPr>
            <w:tcW w:type="dxa" w:w="1984"/>
          </w:tcPr>
          <w:p>
            <w:r>
              <w:t>Real Assets</w:t>
            </w:r>
          </w:p>
        </w:tc>
        <w:tc>
          <w:tcPr>
            <w:tcW w:type="dxa" w:w="1039"/>
          </w:tcPr>
          <w:p>
            <w:r>
              <w:t>19.43</w:t>
            </w:r>
          </w:p>
        </w:tc>
        <w:tc>
          <w:tcPr>
            <w:tcW w:type="dxa" w:w="1039"/>
          </w:tcPr>
          <w:p>
            <w:r>
              <w:t>13.17</w:t>
            </w:r>
          </w:p>
        </w:tc>
        <w:tc>
          <w:tcPr>
            <w:tcW w:type="dxa" w:w="1039"/>
          </w:tcPr>
          <w:p>
            <w:r>
              <w:t>14.15</w:t>
            </w:r>
          </w:p>
        </w:tc>
      </w:tr>
      <w:tr>
        <w:tc>
          <w:tcPr>
            <w:tcW w:type="dxa" w:w="1984"/>
          </w:tcPr>
          <w:p>
            <w:r>
              <w:t>Alternatives</w:t>
            </w:r>
          </w:p>
        </w:tc>
        <w:tc>
          <w:tcPr>
            <w:tcW w:type="dxa" w:w="1039"/>
          </w:tcPr>
          <w:p>
            <w:r>
              <w:t>0.0</w:t>
            </w:r>
          </w:p>
        </w:tc>
        <w:tc>
          <w:tcPr>
            <w:tcW w:type="dxa" w:w="1039"/>
          </w:tcPr>
          <w:p>
            <w:r>
              <w:t>0.0</w:t>
            </w:r>
          </w:p>
        </w:tc>
        <w:tc>
          <w:tcPr>
            <w:tcW w:type="dxa" w:w="1039"/>
          </w:tcPr>
          <w:p>
            <w:r>
              <w:t>0.0</w:t>
            </w:r>
          </w:p>
        </w:tc>
      </w:tr>
      <w:tr>
        <w:tc>
          <w:tcPr>
            <w:tcW w:type="dxa" w:w="1984"/>
          </w:tcPr>
          <w:p>
            <w:r>
              <w:t>Long Duration</w:t>
            </w:r>
          </w:p>
        </w:tc>
        <w:tc>
          <w:tcPr>
            <w:tcW w:type="dxa" w:w="1039"/>
          </w:tcPr>
          <w:p>
            <w:r>
              <w:t>2.87</w:t>
            </w:r>
          </w:p>
        </w:tc>
        <w:tc>
          <w:tcPr>
            <w:tcW w:type="dxa" w:w="1039"/>
          </w:tcPr>
          <w:p>
            <w:r>
              <w:t>2.61</w:t>
            </w:r>
          </w:p>
        </w:tc>
        <w:tc>
          <w:tcPr>
            <w:tcW w:type="dxa" w:w="1039"/>
          </w:tcPr>
          <w:p>
            <w:r>
              <w:t>2.95</w:t>
            </w:r>
          </w:p>
        </w:tc>
      </w:tr>
      <w:tr>
        <w:tc>
          <w:tcPr>
            <w:tcW w:type="dxa" w:w="1984"/>
          </w:tcPr>
          <w:p>
            <w:r>
              <w:t>Floating Rate</w:t>
            </w:r>
          </w:p>
        </w:tc>
        <w:tc>
          <w:tcPr>
            <w:tcW w:type="dxa" w:w="1039"/>
          </w:tcPr>
          <w:p>
            <w:r>
              <w:t>0.0</w:t>
            </w:r>
          </w:p>
        </w:tc>
        <w:tc>
          <w:tcPr>
            <w:tcW w:type="dxa" w:w="1039"/>
          </w:tcPr>
          <w:p>
            <w:r>
              <w:t>0.0</w:t>
            </w:r>
          </w:p>
        </w:tc>
        <w:tc>
          <w:tcPr>
            <w:tcW w:type="dxa" w:w="1039"/>
          </w:tcPr>
          <w:p>
            <w:r>
              <w:t>0.0</w:t>
            </w:r>
          </w:p>
        </w:tc>
      </w:tr>
      <w:tr>
        <w:tc>
          <w:tcPr>
            <w:tcW w:type="dxa" w:w="1984"/>
          </w:tcPr>
          <w:p>
            <w:r>
              <w:t>Cash</w:t>
            </w:r>
          </w:p>
        </w:tc>
        <w:tc>
          <w:tcPr>
            <w:tcW w:type="dxa" w:w="1039"/>
          </w:tcPr>
          <w:p>
            <w:r>
              <w:t>4.48</w:t>
            </w:r>
          </w:p>
        </w:tc>
        <w:tc>
          <w:tcPr>
            <w:tcW w:type="dxa" w:w="1039"/>
          </w:tcPr>
          <w:p>
            <w:r>
              <w:t>4.24</w:t>
            </w:r>
          </w:p>
        </w:tc>
        <w:tc>
          <w:tcPr>
            <w:tcW w:type="dxa" w:w="1039"/>
          </w:tcPr>
          <w:p>
            <w:r>
              <w:t>3.83</w:t>
            </w:r>
          </w:p>
        </w:tc>
      </w:tr>
    </w:tbl>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34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340000"/>
                    </a:xfrm>
                    <a:prstGeom prst="rect"/>
                  </pic:spPr>
                </pic:pic>
              </a:graphicData>
            </a:graphic>
          </wp:inline>
        </w:drawing>
      </w:r>
    </w:p>
    <w:br w:type="column"/>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bl>
    <w:p>
      <w:pPr>
        <w:pStyle w:val="Heading30"/>
      </w:pPr>
      <w:r>
        <w:t>1 Year Performance Heatmap</w:t>
      </w:r>
    </w:p>
    <w:p>
      <w:r>
        <w:drawing>
          <wp:inline xmlns:a="http://schemas.openxmlformats.org/drawingml/2006/main" xmlns:pic="http://schemas.openxmlformats.org/drawingml/2006/picture">
            <wp:extent cx="3240000" cy="2520000"/>
            <wp:docPr id="6" name="Picture 6"/>
            <wp:cNvGraphicFramePr>
              <a:graphicFrameLocks noChangeAspect="1"/>
            </wp:cNvGraphicFramePr>
            <a:graphic>
              <a:graphicData uri="http://schemas.openxmlformats.org/drawingml/2006/picture">
                <pic:pic>
                  <pic:nvPicPr>
                    <pic:cNvPr id="0" name="6_Sleeve_Treemap1_1Yr.png"/>
                    <pic:cNvPicPr/>
                  </pic:nvPicPr>
                  <pic:blipFill>
                    <a:blip r:embed="rId24"/>
                    <a:stretch>
                      <a:fillRect/>
                    </a:stretch>
                  </pic:blipFill>
                  <pic:spPr>
                    <a:xfrm>
                      <a:off x="0" y="0"/>
                      <a:ext cx="3240000" cy="2520000"/>
                    </a:xfrm>
                    <a:prstGeom prst="rect"/>
                  </pic:spPr>
                </pic:pic>
              </a:graphicData>
            </a:graphic>
          </wp:inline>
        </w:drawing>
      </w:r>
    </w:p>
    <w:p>
      <w:pPr>
        <w:pStyle w:val="Heading30"/>
      </w:pPr>
      <w:r>
        <w:t>Historical Allocation Changes</w:t>
      </w:r>
    </w:p>
    <w:p>
      <w:r>
        <w:drawing>
          <wp:inline xmlns:a="http://schemas.openxmlformats.org/drawingml/2006/main" xmlns:pic="http://schemas.openxmlformats.org/drawingml/2006/picture">
            <wp:extent cx="3240000" cy="1800000"/>
            <wp:docPr id="7" name="Picture 7"/>
            <wp:cNvGraphicFramePr>
              <a:graphicFrameLocks noChangeAspect="1"/>
            </wp:cNvGraphicFramePr>
            <a:graphic>
              <a:graphicData uri="http://schemas.openxmlformats.org/drawingml/2006/picture">
                <pic:pic>
                  <pic:nvPicPr>
                    <pic:cNvPr id="0" name="3_Allocation_FloatHistory.png"/>
                    <pic:cNvPicPr/>
                  </pic:nvPicPr>
                  <pic:blipFill>
                    <a:blip r:embed="rId25"/>
                    <a:stretch>
                      <a:fillRect/>
                    </a:stretch>
                  </pic:blipFill>
                  <pic:spPr>
                    <a:xfrm>
                      <a:off x="0" y="0"/>
                      <a:ext cx="3240000" cy="1800000"/>
                    </a:xfrm>
                    <a:prstGeom prst="rect"/>
                  </pic:spPr>
                </pic:pic>
              </a:graphicData>
            </a:graphic>
          </wp:inline>
        </w:drawing>
      </w:r>
    </w:p>
    <w:br w:type="column"/>
    <w:p>
      <w:pPr>
        <w:pStyle w:val="Heading20"/>
      </w:pPr>
      <w:r>
        <w:t>Market Update</w:t>
      </w:r>
    </w:p>
    <w:p>
      <w:pPr>
        <w:pStyle w:val="BodyStyle"/>
      </w:pPr>
      <w:r>
        <w:t>Australian stocks surged, with the S&amp;P/ASX 200 gaining 4.6% and hitting a record high. Ten of eleven sectors in the ASX 200 rose, with Consumer Discretionary up 7.1% and Financials up 6.1%. Utilities were the only sector in negative territory (-2.4%) for the month.</w:t>
        <w:br/>
        <w:br/>
        <w:t>Utilities are defensive stocks that tend to outperform in low-rate environments due to their stable, bond-like dividend returns. However, as bond yields rose in early January, fixed income became more attractive relative to utilities, leading to a rotation out of the sector.</w:t>
        <w:br/>
        <w:br/>
        <w:t>The S&amp;P 500 hit a record high early in the month before a sharp decline triggered by the launch of a new AI model, Deep Seek, from China. However, strong earnings and consumer spending helped the index finish with a 3% monthly gain. US Mid-Cap (3.9%) and Small-Cap (2.9%) companies outperformed the S&amp;P 500 (2.8%) in January. Investors remain cautious about potential Fed rate cuts, inflation, already high valuations on Mega Caps, implications of Deep Seek, and potential trade tariff retaliation affecting neighboring US partners.Most sectors saw positive returns, led by Communication Services, Health Care, and Financials. Technology was the only sector to decline (-2.9%), facing headwinds from AI-related concerns.</w:t>
        <w:br/>
        <w:br/>
        <w:t>European stocks surged in January, driven by interest rate cuts and resilience to AI-related volatility. The FTSE 100 climbed 6.8%. Financials and Technology led gains, both up 8.4%, while Consumer Staples and Real Estate underperformed, rising just 2.2% and 2.4%. Despite European mid- and small-cap stocks rising, they trailed large caps, gaining 5.9% and 3.8%, respectively.</w:t>
        <w:br/>
        <w:br/>
        <w:t>Bond markets gained across the board, supported by falling 10-year Treasury yields and a flight to safety amid market volatility. High-yield credit outperformed investment-grade bonds, reflecting stronger investor risk appetite.</w:t>
        <w:br/>
        <w:br/>
        <w:t>Australian bonds were mostly positive, as markets priced in an 80% probability of an RBA rate cut in February. This expectation drove bond yields lower and prices higher, in line with broader expectations of global monetary easing.</w:t>
        <w:br/>
        <w:br/>
        <w:t>Eurozone government bonds declined in January as markets had already priced in expected ECB rate cuts. Additionally, improved economic sentiment led investors to rotate out of safe-haven bonds and into riskier assets. Meanwhile, European corporate and high-yield bonds rose, benefiting from narrowing credit spreads, as investors perceived lower risk in corporate debt due to anticipated lower borrowing costs.</w:t>
        <w:br/>
        <w:br/>
        <w:t>Gold reached another record high, driving strong gains in Precious Metals, as investors sought safe-haven assets amid tariff uncertainty.</w:t>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