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Green"/>
        <w:tabs>
          <w:tab w:pos="10772" w:val="right"/>
        </w:tabs>
      </w:pPr>
      <w:r>
        <w:t>Wattle Client #5 - Full Portfolio</w:t>
      </w:r>
      <w:r>
        <w:tab/>
      </w:r>
      <w:r>
        <w:t>31 January 2025</w:t>
      </w:r>
    </w:p>
    <w:p>
      <w:pPr>
        <w:pStyle w:val="BodyStyle"/>
      </w:pPr>
    </w:p>
    <w:tbl>
      <w:tblPr>
        <w:tblStyle w:val="AtchisonTable1"/>
        <w:tblW w:type="auto" w:w="0"/>
        <w:tblLook w:firstColumn="1" w:firstRow="1" w:lastColumn="0" w:lastRow="0" w:noHBand="0" w:noVBand="1" w:val="04A0"/>
      </w:tblPr>
      <w:tblGrid>
        <w:gridCol w:w="1579"/>
        <w:gridCol w:w="1579"/>
        <w:gridCol w:w="1579"/>
        <w:gridCol w:w="1579"/>
        <w:gridCol w:w="1579"/>
        <w:gridCol w:w="1579"/>
        <w:gridCol w:w="1579"/>
      </w:tblGrid>
      <w:tr>
        <w:tc>
          <w:tcPr>
            <w:tcW w:type="dxa" w:w="2551"/>
          </w:tcPr>
          <w:p/>
        </w:tc>
        <w:tc>
          <w:tcPr>
            <w:tcW w:type="dxa" w:w="1370"/>
          </w:tcPr>
          <w:p>
            <w:r>
              <w:t>3 Months</w:t>
            </w:r>
          </w:p>
        </w:tc>
        <w:tc>
          <w:tcPr>
            <w:tcW w:type="dxa" w:w="1370"/>
          </w:tcPr>
          <w:p>
            <w:r>
              <w:t>6 Months</w:t>
            </w:r>
          </w:p>
        </w:tc>
        <w:tc>
          <w:tcPr>
            <w:tcW w:type="dxa" w:w="1370"/>
          </w:tcPr>
          <w:p>
            <w:r>
              <w:t>1 Year</w:t>
            </w:r>
          </w:p>
        </w:tc>
        <w:tc>
          <w:tcPr>
            <w:tcW w:type="dxa" w:w="1370"/>
          </w:tcPr>
          <w:p>
            <w:r>
              <w:t>2 Years (p.a.)</w:t>
            </w:r>
          </w:p>
        </w:tc>
        <w:tc>
          <w:tcPr>
            <w:tcW w:type="dxa" w:w="1370"/>
          </w:tcPr>
          <w:p>
            <w:r>
              <w:t>3 Years (p.a.)</w:t>
            </w:r>
          </w:p>
        </w:tc>
        <w:tc>
          <w:tcPr>
            <w:tcW w:type="dxa" w:w="1370"/>
          </w:tcPr>
          <w:p>
            <w:r>
              <w:t>Since Inception</w:t>
            </w:r>
          </w:p>
        </w:tc>
      </w:tr>
      <w:tr>
        <w:tc>
          <w:tcPr>
            <w:tcW w:type="dxa" w:w="2551"/>
          </w:tcPr>
          <w:p>
            <w:r>
              <w:t>Wattle0005</w:t>
            </w:r>
          </w:p>
        </w:tc>
        <w:tc>
          <w:tcPr>
            <w:tcW w:type="dxa" w:w="1370"/>
          </w:tcPr>
          <w:p>
            <w:r>
              <w:rPr>
                <w:b/>
              </w:rPr>
              <w:t>7.5</w:t>
            </w:r>
          </w:p>
        </w:tc>
        <w:tc>
          <w:tcPr>
            <w:tcW w:type="dxa" w:w="1370"/>
          </w:tcPr>
          <w:p>
            <w:r>
              <w:rPr>
                <w:b/>
              </w:rPr>
              <w:t>9.91</w:t>
            </w:r>
          </w:p>
        </w:tc>
        <w:tc>
          <w:tcPr>
            <w:tcW w:type="dxa" w:w="1370"/>
          </w:tcPr>
          <w:p>
            <w:r>
              <w:rPr>
                <w:b/>
              </w:rPr>
              <w:t>20.13</w:t>
            </w:r>
          </w:p>
        </w:tc>
        <w:tc>
          <w:tcPr>
            <w:tcW w:type="dxa" w:w="1370"/>
          </w:tcPr>
          <w:p>
            <w:r>
              <w:rPr>
                <w:b/>
              </w:rPr>
              <w:t>18.74</w:t>
            </w:r>
          </w:p>
        </w:tc>
        <w:tc>
          <w:tcPr>
            <w:tcW w:type="dxa" w:w="1370"/>
          </w:tcPr>
          <w:p>
            <w:r>
              <w:rPr>
                <w:b/>
              </w:rPr>
              <w:t>12.46</w:t>
            </w:r>
          </w:p>
        </w:tc>
        <w:tc>
          <w:tcPr>
            <w:tcW w:type="dxa" w:w="1370"/>
          </w:tcPr>
          <w:p>
            <w:r>
              <w:rPr>
                <w:b/>
              </w:rPr>
              <w:t>9.12</w:t>
            </w:r>
          </w:p>
        </w:tc>
      </w:tr>
      <w:tr>
        <w:tc>
          <w:tcPr>
            <w:tcW w:type="dxa" w:w="2551"/>
          </w:tcPr>
          <w:p>
            <w:r>
              <w:t>Peer Group</w:t>
            </w:r>
          </w:p>
        </w:tc>
        <w:tc>
          <w:tcPr>
            <w:tcW w:type="dxa" w:w="1370"/>
          </w:tcPr>
          <w:p>
            <w:r>
              <w:t>6.17</w:t>
            </w:r>
          </w:p>
        </w:tc>
        <w:tc>
          <w:tcPr>
            <w:tcW w:type="dxa" w:w="1370"/>
          </w:tcPr>
          <w:p>
            <w:r>
              <w:t>8.21</w:t>
            </w:r>
          </w:p>
        </w:tc>
        <w:tc>
          <w:tcPr>
            <w:tcW w:type="dxa" w:w="1370"/>
          </w:tcPr>
          <w:p>
            <w:r>
              <w:t>17.15</w:t>
            </w:r>
          </w:p>
        </w:tc>
        <w:tc>
          <w:tcPr>
            <w:tcW w:type="dxa" w:w="1370"/>
          </w:tcPr>
          <w:p>
            <w:r>
              <w:t>14.17</w:t>
            </w:r>
          </w:p>
        </w:tc>
        <w:tc>
          <w:tcPr>
            <w:tcW w:type="dxa" w:w="1370"/>
          </w:tcPr>
          <w:p>
            <w:r>
              <w:t>9.57</w:t>
            </w:r>
          </w:p>
        </w:tc>
        <w:tc>
          <w:tcPr>
            <w:tcW w:type="dxa" w:w="1370"/>
          </w:tcPr>
          <w:p>
            <w:r>
              <w:t>6.61</w:t>
            </w:r>
          </w:p>
        </w:tc>
      </w:tr>
      <w:tr>
        <w:tc>
          <w:tcPr>
            <w:tcW w:type="dxa" w:w="2551"/>
          </w:tcPr>
          <w:p>
            <w:r>
              <w:t>Inflation</w:t>
            </w:r>
          </w:p>
        </w:tc>
        <w:tc>
          <w:tcPr>
            <w:tcW w:type="dxa" w:w="1370"/>
          </w:tcPr>
          <w:p>
            <w:r>
              <w:t>0.0</w:t>
            </w:r>
          </w:p>
        </w:tc>
        <w:tc>
          <w:tcPr>
            <w:tcW w:type="dxa" w:w="1370"/>
          </w:tcPr>
          <w:p>
            <w:r>
              <w:t>0.55</w:t>
            </w:r>
          </w:p>
        </w:tc>
        <w:tc>
          <w:tcPr>
            <w:tcW w:type="dxa" w:w="1370"/>
          </w:tcPr>
          <w:p>
            <w:r>
              <w:t>2.78</w:t>
            </w:r>
          </w:p>
        </w:tc>
        <w:tc>
          <w:tcPr>
            <w:tcW w:type="dxa" w:w="1370"/>
          </w:tcPr>
          <w:p>
            <w:r>
              <w:t>3.43</w:t>
            </w:r>
          </w:p>
        </w:tc>
        <w:tc>
          <w:tcPr>
            <w:tcW w:type="dxa" w:w="1370"/>
          </w:tcPr>
          <w:p>
            <w:r>
              <w:t>4.58</w:t>
            </w:r>
          </w:p>
        </w:tc>
        <w:tc>
          <w:tcPr>
            <w:tcW w:type="dxa" w:w="1370"/>
          </w:tcPr>
          <w:p>
            <w:r>
              <w:t>3.94</w:t>
            </w:r>
          </w:p>
        </w:tc>
      </w:tr>
      <w:tr>
        <w:tc>
          <w:tcPr>
            <w:tcW w:type="dxa" w:w="2551"/>
          </w:tcPr>
          <w:p>
            <w:r>
              <w:t>Outperformance vs Peers</w:t>
            </w:r>
          </w:p>
        </w:tc>
        <w:tc>
          <w:tcPr>
            <w:tcW w:type="dxa" w:w="1370"/>
          </w:tcPr>
          <w:p>
            <w:r>
              <w:t>1.33</w:t>
            </w:r>
          </w:p>
        </w:tc>
        <w:tc>
          <w:tcPr>
            <w:tcW w:type="dxa" w:w="1370"/>
          </w:tcPr>
          <w:p>
            <w:r>
              <w:t>1.7</w:t>
            </w:r>
          </w:p>
        </w:tc>
        <w:tc>
          <w:tcPr>
            <w:tcW w:type="dxa" w:w="1370"/>
          </w:tcPr>
          <w:p>
            <w:r>
              <w:t>2.99</w:t>
            </w:r>
          </w:p>
        </w:tc>
        <w:tc>
          <w:tcPr>
            <w:tcW w:type="dxa" w:w="1370"/>
          </w:tcPr>
          <w:p>
            <w:r>
              <w:t>4.56</w:t>
            </w:r>
          </w:p>
        </w:tc>
        <w:tc>
          <w:tcPr>
            <w:tcW w:type="dxa" w:w="1370"/>
          </w:tcPr>
          <w:p>
            <w:r>
              <w:t>2.89</w:t>
            </w:r>
          </w:p>
        </w:tc>
        <w:tc>
          <w:tcPr>
            <w:tcW w:type="dxa" w:w="1370"/>
          </w:tcPr>
          <w:p>
            <w:r>
              <w:t>2.51</w:t>
            </w:r>
          </w:p>
        </w:tc>
      </w:tr>
      <w:tr>
        <w:tc>
          <w:tcPr>
            <w:tcW w:type="dxa" w:w="2551"/>
          </w:tcPr>
          <w:p>
            <w:r>
              <w:t>Outperformance vs Inflation</w:t>
            </w:r>
          </w:p>
        </w:tc>
        <w:tc>
          <w:tcPr>
            <w:tcW w:type="dxa" w:w="1370"/>
          </w:tcPr>
          <w:p>
            <w:r>
              <w:t>7.5</w:t>
            </w:r>
          </w:p>
        </w:tc>
        <w:tc>
          <w:tcPr>
            <w:tcW w:type="dxa" w:w="1370"/>
          </w:tcPr>
          <w:p>
            <w:r>
              <w:t>9.36</w:t>
            </w:r>
          </w:p>
        </w:tc>
        <w:tc>
          <w:tcPr>
            <w:tcW w:type="dxa" w:w="1370"/>
          </w:tcPr>
          <w:p>
            <w:r>
              <w:t>17.36</w:t>
            </w:r>
          </w:p>
        </w:tc>
        <w:tc>
          <w:tcPr>
            <w:tcW w:type="dxa" w:w="1370"/>
          </w:tcPr>
          <w:p>
            <w:r>
              <w:t>15.3</w:t>
            </w:r>
          </w:p>
        </w:tc>
        <w:tc>
          <w:tcPr>
            <w:tcW w:type="dxa" w:w="1370"/>
          </w:tcPr>
          <w:p>
            <w:r>
              <w:t>7.88</w:t>
            </w:r>
          </w:p>
        </w:tc>
        <w:tc>
          <w:tcPr>
            <w:tcW w:type="dxa" w:w="1370"/>
          </w:tcPr>
          <w:p>
            <w:r>
              <w:t>5.18</w:t>
            </w:r>
          </w:p>
        </w:tc>
      </w:tr>
    </w:tbl>
    <w:p>
      <w:pPr>
        <w:pStyle w:val="Note"/>
      </w:pPr>
      <w:r>
        <w:t>Inception Date: 30 June 2021</w:t>
      </w:r>
    </w:p>
    <w:p>
      <w:pPr>
        <w:pStyle w:val="BodyStyle"/>
      </w:pPr>
    </w:p>
    <w:p>
      <w:pPr>
        <w:sectPr>
          <w:headerReference w:type="default" r:id="rId11"/>
          <w:footerReference w:type="default" r:id="rId12"/>
          <w:headerReference w:type="first" r:id="rId13"/>
          <w:footerReference w:type="first" r:id="rId14"/>
          <w:type w:val="continuous"/>
          <w:pgSz w:w="11900" w:h="16840" w:code="9"/>
          <w:pgMar w:top="0" w:right="420" w:bottom="0" w:left="425" w:header="0" w:footer="726" w:gutter="0"/>
          <w:cols w:space="284"/>
          <w:docGrid w:linePitch="360"/>
        </w:sectPr>
      </w:pPr>
    </w:p>
    <w:p>
      <w:pPr>
        <w:pStyle w:val="Heading2-Green"/>
      </w:pPr>
      <w:r>
        <w:t>Investment Objective</w:t>
      </w:r>
    </w:p>
    <w:p>
      <w:pPr>
        <w:pStyle w:val="BodyStyle"/>
      </w:pPr>
      <w:r>
        <w:t>nan</w:t>
      </w:r>
    </w:p>
    <w:p>
      <w:pPr>
        <w:pStyle w:val="Heading2-Green"/>
      </w:pPr>
      <w:r>
        <w:t>Strategy Overview</w:t>
      </w:r>
    </w:p>
    <w:p>
      <w:pPr>
        <w:pStyle w:val="BodyStyle"/>
      </w:pPr>
      <w:r>
        <w:t>nan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Wattle</w:t>
            </w:r>
          </w:p>
        </w:tc>
      </w:tr>
      <w:tr>
        <w:tc>
          <w:tcPr>
            <w:tcW w:type="dxa" w:w="2268"/>
          </w:tcPr>
          <w:p>
            <w:r>
              <w:t>Benchmark</w:t>
            </w:r>
          </w:p>
        </w:tc>
        <w:tc>
          <w:tcPr>
            <w:tcW w:type="dxa" w:w="3118"/>
          </w:tcPr>
          <w:p>
            <w:r>
              <w:t>nan</w:t>
            </w:r>
          </w:p>
        </w:tc>
      </w:tr>
      <w:tr>
        <w:tc>
          <w:tcPr>
            <w:tcW w:type="dxa" w:w="2268"/>
          </w:tcPr>
          <w:p>
            <w:r>
              <w:t>Inception Date</w:t>
            </w:r>
          </w:p>
        </w:tc>
        <w:tc>
          <w:tcPr>
            <w:tcW w:type="dxa" w:w="3118"/>
          </w:tcPr>
          <w:p>
            <w:r>
              <w:t>30 June 2021</w:t>
            </w:r>
          </w:p>
        </w:tc>
      </w:tr>
      <w:tr>
        <w:tc>
          <w:tcPr>
            <w:tcW w:type="dxa" w:w="2268"/>
          </w:tcPr>
          <w:p>
            <w:r>
              <w:t>Investment Horizon</w:t>
            </w:r>
          </w:p>
        </w:tc>
        <w:tc>
          <w:tcPr>
            <w:tcW w:type="dxa" w:w="3118"/>
          </w:tcPr>
          <w:p>
            <w:r>
              <w:t>nan</w:t>
            </w:r>
          </w:p>
        </w:tc>
      </w:tr>
      <w:tr>
        <w:tc>
          <w:tcPr>
            <w:tcW w:type="dxa" w:w="2268"/>
          </w:tcPr>
          <w:p>
            <w:r>
              <w:t>Risk Level (SRM)</w:t>
            </w:r>
          </w:p>
        </w:tc>
        <w:tc>
          <w:tcPr>
            <w:tcW w:type="dxa" w:w="3118"/>
          </w:tcPr>
          <w:p>
            <w:r>
              <w:t>nan</w:t>
            </w:r>
          </w:p>
        </w:tc>
      </w:tr>
      <w:tr>
        <w:tc>
          <w:tcPr>
            <w:tcW w:type="dxa" w:w="2268"/>
          </w:tcPr>
          <w:p>
            <w:r>
              <w:t>Min Investment</w:t>
            </w:r>
          </w:p>
        </w:tc>
        <w:tc>
          <w:tcPr>
            <w:tcW w:type="dxa" w:w="3118"/>
          </w:tcPr>
          <w:p>
            <w:r>
              <w:t>nan</w:t>
            </w:r>
          </w:p>
        </w:tc>
      </w:tr>
      <w:tr>
        <w:tc>
          <w:tcPr>
            <w:tcW w:type="dxa" w:w="2268"/>
          </w:tcPr>
          <w:p>
            <w:r>
              <w:t>Product Fee</w:t>
            </w:r>
          </w:p>
        </w:tc>
        <w:tc>
          <w:tcPr>
            <w:tcW w:type="dxa" w:w="3118"/>
          </w:tcPr>
          <w:p>
            <w:r>
              <w:t>nan</w:t>
            </w:r>
          </w:p>
        </w:tc>
      </w:tr>
      <w:tr>
        <w:tc>
          <w:tcPr>
            <w:tcW w:type="dxa" w:w="2268"/>
          </w:tcPr>
          <w:p>
            <w:r>
              <w:t>Underlying MER</w:t>
            </w:r>
          </w:p>
        </w:tc>
        <w:tc>
          <w:tcPr>
            <w:tcW w:type="dxa" w:w="3118"/>
          </w:tcPr>
          <w:p>
            <w:r>
              <w:t>nan</w:t>
            </w:r>
          </w:p>
        </w:tc>
      </w:tr>
      <w:tr>
        <w:tc>
          <w:tcPr>
            <w:tcW w:type="dxa" w:w="2268"/>
          </w:tcPr>
          <w:p>
            <w:r>
              <w:t>Underlying Perf Fees</w:t>
            </w:r>
          </w:p>
        </w:tc>
        <w:tc>
          <w:tcPr>
            <w:tcW w:type="dxa" w:w="3118"/>
          </w:tcPr>
          <w:p>
            <w:r>
              <w:t>nan</w:t>
            </w:r>
          </w:p>
        </w:tc>
      </w:tr>
    </w:tbl>
    <w:br w:type="column"/>
    <w:p>
      <w:pPr>
        <w:pStyle w:val="Heading2-Green"/>
      </w:pPr>
      <w:r>
        <w:t>Performance</w:t>
      </w:r>
    </w:p>
    <w:p>
      <w:r>
        <w:drawing>
          <wp:inline xmlns:a="http://schemas.openxmlformats.org/drawingml/2006/main" xmlns:pic="http://schemas.openxmlformats.org/drawingml/2006/picture">
            <wp:extent cx="3240000" cy="162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7"/>
                    <a:stretch>
                      <a:fillRect/>
                    </a:stretch>
                  </pic:blipFill>
                  <pic:spPr>
                    <a:xfrm>
                      <a:off x="0" y="0"/>
                      <a:ext cx="3240000" cy="1620000"/>
                    </a:xfrm>
                    <a:prstGeom prst="rect"/>
                  </pic:spPr>
                </pic:pic>
              </a:graphicData>
            </a:graphic>
          </wp:inline>
        </w:drawing>
      </w:r>
    </w:p>
    <w:p>
      <w:r>
        <w:drawing>
          <wp:inline xmlns:a="http://schemas.openxmlformats.org/drawingml/2006/main" xmlns:pic="http://schemas.openxmlformats.org/drawingml/2006/picture">
            <wp:extent cx="3240000" cy="162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18"/>
                    <a:stretch>
                      <a:fillRect/>
                    </a:stretch>
                  </pic:blipFill>
                  <pic:spPr>
                    <a:xfrm>
                      <a:off x="0" y="0"/>
                      <a:ext cx="3240000" cy="1620000"/>
                    </a:xfrm>
                    <a:prstGeom prst="rect"/>
                  </pic:spPr>
                </pic:pic>
              </a:graphicData>
            </a:graphic>
          </wp:inline>
        </w:drawing>
      </w:r>
    </w:p>
    <w:p>
      <w:pPr>
        <w:pStyle w:val="Heading2-Green"/>
      </w:pPr>
      <w:r>
        <w:t>Asset Allocation</w:t>
      </w:r>
    </w:p>
    <w:p>
      <w:r>
        <w:drawing>
          <wp:inline xmlns:a="http://schemas.openxmlformats.org/drawingml/2006/main" xmlns:pic="http://schemas.openxmlformats.org/drawingml/2006/picture">
            <wp:extent cx="3240000" cy="162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19"/>
                    <a:stretch>
                      <a:fillRect/>
                    </a:stretch>
                  </pic:blipFill>
                  <pic:spPr>
                    <a:xfrm>
                      <a:off x="0" y="0"/>
                      <a:ext cx="3240000" cy="1620000"/>
                    </a:xfrm>
                    <a:prstGeom prst="rect"/>
                  </pic:spPr>
                </pic:pic>
              </a:graphicData>
            </a:graphic>
          </wp:inline>
        </w:drawing>
      </w:r>
    </w:p>
    <w:br w:type="column"/>
    <w:p>
      <w:pPr>
        <w:pStyle w:val="Heading2-Green"/>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9.23</w:t>
            </w:r>
          </w:p>
        </w:tc>
        <w:tc>
          <w:tcPr>
            <w:tcW w:type="dxa" w:w="1039"/>
          </w:tcPr>
          <w:p>
            <w:r>
              <w:t>7.59</w:t>
            </w:r>
          </w:p>
        </w:tc>
        <w:tc>
          <w:tcPr>
            <w:tcW w:type="dxa" w:w="1039"/>
          </w:tcPr>
          <w:p>
            <w:r>
              <w:t>5.81</w:t>
            </w:r>
          </w:p>
        </w:tc>
      </w:tr>
      <w:tr>
        <w:tc>
          <w:tcPr>
            <w:tcW w:type="dxa" w:w="1984"/>
          </w:tcPr>
          <w:p>
            <w:r>
              <w:t>International Shares</w:t>
            </w:r>
          </w:p>
        </w:tc>
        <w:tc>
          <w:tcPr>
            <w:tcW w:type="dxa" w:w="1039"/>
          </w:tcPr>
          <w:p>
            <w:r>
              <w:t>28.34</w:t>
            </w:r>
          </w:p>
        </w:tc>
        <w:tc>
          <w:tcPr>
            <w:tcW w:type="dxa" w:w="1039"/>
          </w:tcPr>
          <w:p>
            <w:r>
              <w:t>27.61</w:t>
            </w:r>
          </w:p>
        </w:tc>
        <w:tc>
          <w:tcPr>
            <w:tcW w:type="dxa" w:w="1039"/>
          </w:tcPr>
          <w:p>
            <w:r>
              <w:t>10.04</w:t>
            </w:r>
          </w:p>
        </w:tc>
      </w:tr>
      <w:tr>
        <w:tc>
          <w:tcPr>
            <w:tcW w:type="dxa" w:w="1984"/>
          </w:tcPr>
          <w:p>
            <w:r>
              <w:t>Real Assets</w:t>
            </w:r>
          </w:p>
        </w:tc>
        <w:tc>
          <w:tcPr>
            <w:tcW w:type="dxa" w:w="1039"/>
          </w:tcPr>
          <w:p>
            <w:r>
              <w:t>18.14</w:t>
            </w:r>
          </w:p>
        </w:tc>
        <w:tc>
          <w:tcPr>
            <w:tcW w:type="dxa" w:w="1039"/>
          </w:tcPr>
          <w:p>
            <w:r>
              <w:t>12.35</w:t>
            </w:r>
          </w:p>
        </w:tc>
        <w:tc>
          <w:tcPr>
            <w:tcW w:type="dxa" w:w="1039"/>
          </w:tcPr>
          <w:p>
            <w:r>
              <w:t>0.65</w:t>
            </w:r>
          </w:p>
        </w:tc>
      </w:tr>
      <w:tr>
        <w:tc>
          <w:tcPr>
            <w:tcW w:type="dxa" w:w="1984"/>
          </w:tcPr>
          <w:p>
            <w:r>
              <w:t>Alternatives</w:t>
            </w:r>
          </w:p>
        </w:tc>
        <w:tc>
          <w:tcPr>
            <w:tcW w:type="dxa" w:w="1039"/>
          </w:tcPr>
          <w:p>
            <w:r>
              <w:t>0.0</w:t>
            </w:r>
          </w:p>
        </w:tc>
        <w:tc>
          <w:tcPr>
            <w:tcW w:type="dxa" w:w="1039"/>
          </w:tcPr>
          <w:p>
            <w:r>
              <w:t>0.0</w:t>
            </w:r>
          </w:p>
        </w:tc>
        <w:tc>
          <w:tcPr>
            <w:tcW w:type="dxa" w:w="1039"/>
          </w:tcPr>
          <w:p>
            <w:r>
              <w:t>0.0</w:t>
            </w:r>
          </w:p>
        </w:tc>
      </w:tr>
      <w:tr>
        <w:tc>
          <w:tcPr>
            <w:tcW w:type="dxa" w:w="1984"/>
          </w:tcPr>
          <w:p>
            <w:r>
              <w:t>Long Duration</w:t>
            </w:r>
          </w:p>
        </w:tc>
        <w:tc>
          <w:tcPr>
            <w:tcW w:type="dxa" w:w="1039"/>
          </w:tcPr>
          <w:p>
            <w:r>
              <w:t>0.0</w:t>
            </w:r>
          </w:p>
        </w:tc>
        <w:tc>
          <w:tcPr>
            <w:tcW w:type="dxa" w:w="1039"/>
          </w:tcPr>
          <w:p>
            <w:r>
              <w:t>0.0</w:t>
            </w:r>
          </w:p>
        </w:tc>
        <w:tc>
          <w:tcPr>
            <w:tcW w:type="dxa" w:w="1039"/>
          </w:tcPr>
          <w:p>
            <w:r>
              <w:t>0.0</w:t>
            </w:r>
          </w:p>
        </w:tc>
      </w:tr>
      <w:tr>
        <w:tc>
          <w:tcPr>
            <w:tcW w:type="dxa" w:w="1984"/>
          </w:tcPr>
          <w:p>
            <w:r>
              <w:t>Floating Rate</w:t>
            </w:r>
          </w:p>
        </w:tc>
        <w:tc>
          <w:tcPr>
            <w:tcW w:type="dxa" w:w="1039"/>
          </w:tcPr>
          <w:p>
            <w:r>
              <w:t>0.0</w:t>
            </w:r>
          </w:p>
        </w:tc>
        <w:tc>
          <w:tcPr>
            <w:tcW w:type="dxa" w:w="1039"/>
          </w:tcPr>
          <w:p>
            <w:r>
              <w:t>0.0</w:t>
            </w:r>
          </w:p>
        </w:tc>
        <w:tc>
          <w:tcPr>
            <w:tcW w:type="dxa" w:w="1039"/>
          </w:tcPr>
          <w:p>
            <w:r>
              <w:t>0.0</w:t>
            </w:r>
          </w:p>
        </w:tc>
      </w:tr>
      <w:tr>
        <w:tc>
          <w:tcPr>
            <w:tcW w:type="dxa" w:w="1984"/>
          </w:tcPr>
          <w:p>
            <w:r>
              <w:t>Cash</w:t>
            </w:r>
          </w:p>
        </w:tc>
        <w:tc>
          <w:tcPr>
            <w:tcW w:type="dxa" w:w="1039"/>
          </w:tcPr>
          <w:p>
            <w:r>
              <w:t>0.0</w:t>
            </w:r>
          </w:p>
        </w:tc>
        <w:tc>
          <w:tcPr>
            <w:tcW w:type="dxa" w:w="1039"/>
          </w:tcPr>
          <w:p>
            <w:r>
              <w:t>0.0</w:t>
            </w:r>
          </w:p>
        </w:tc>
        <w:tc>
          <w:tcPr>
            <w:tcW w:type="dxa" w:w="1039"/>
          </w:tcPr>
          <w:p>
            <w:r>
              <w:t>0.0</w:t>
            </w:r>
          </w:p>
        </w:tc>
      </w:tr>
    </w:tbl>
    <w:p>
      <w:pPr>
        <w:pStyle w:val="Heading2-Green"/>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0"/>
                    <a:stretch>
                      <a:fillRect/>
                    </a:stretch>
                  </pic:blipFill>
                  <pic:spPr>
                    <a:xfrm>
                      <a:off x="0" y="0"/>
                      <a:ext cx="3240000" cy="3240000"/>
                    </a:xfrm>
                    <a:prstGeom prst="rect"/>
                  </pic:spPr>
                </pic:pic>
              </a:graphicData>
            </a:graphic>
          </wp:inline>
        </w:drawing>
      </w:r>
    </w:p>
    <w:p>
      <w:pPr>
        <w:pStyle w:val="Heading2-Green"/>
      </w:pPr>
      <w:r>
        <w:t>Correlations</w:t>
      </w:r>
    </w:p>
    <w:p>
      <w:r>
        <w:drawing>
          <wp:inline xmlns:a="http://schemas.openxmlformats.org/drawingml/2006/main" xmlns:pic="http://schemas.openxmlformats.org/drawingml/2006/picture">
            <wp:extent cx="3240000" cy="234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1"/>
                    <a:stretch>
                      <a:fillRect/>
                    </a:stretch>
                  </pic:blipFill>
                  <pic:spPr>
                    <a:xfrm>
                      <a:off x="0" y="0"/>
                      <a:ext cx="3240000" cy="2340000"/>
                    </a:xfrm>
                    <a:prstGeom prst="rect"/>
                  </pic:spPr>
                </pic:pic>
              </a:graphicData>
            </a:graphic>
          </wp:inline>
        </w:drawing>
      </w:r>
    </w:p>
    <w:p>
      <w:pPr>
        <w:pStyle w:val="Heading2-Green"/>
      </w:pPr>
      <w:r>
        <w:t>1 Year Performance Heatmap</w:t>
      </w:r>
    </w:p>
    <w:p>
      <w:r>
        <w:drawing>
          <wp:inline xmlns:a="http://schemas.openxmlformats.org/drawingml/2006/main" xmlns:pic="http://schemas.openxmlformats.org/drawingml/2006/picture">
            <wp:extent cx="3240000" cy="3008571"/>
            <wp:docPr id="6" name="Picture 6"/>
            <wp:cNvGraphicFramePr>
              <a:graphicFrameLocks noChangeAspect="1"/>
            </wp:cNvGraphicFramePr>
            <a:graphic>
              <a:graphicData uri="http://schemas.openxmlformats.org/drawingml/2006/picture">
                <pic:pic>
                  <pic:nvPicPr>
                    <pic:cNvPr id="0" name="6_Sleeve_Treemap1_1Yr.png"/>
                    <pic:cNvPicPr/>
                  </pic:nvPicPr>
                  <pic:blipFill>
                    <a:blip r:embed="rId22"/>
                    <a:stretch>
                      <a:fillRect/>
                    </a:stretch>
                  </pic:blipFill>
                  <pic:spPr>
                    <a:xfrm>
                      <a:off x="0" y="0"/>
                      <a:ext cx="3240000" cy="3008571"/>
                    </a:xfrm>
                    <a:prstGeom prst="rect"/>
                  </pic:spPr>
                </pic:pic>
              </a:graphicData>
            </a:graphic>
          </wp:inline>
        </w:drawing>
      </w:r>
    </w:p>
    <w:p>
      <w:pPr>
        <w:pStyle w:val="Heading2-Green"/>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CLW-AU</w:t>
            </w:r>
          </w:p>
        </w:tc>
        <w:tc>
          <w:tcPr>
            <w:tcW w:type="dxa" w:w="3685"/>
          </w:tcPr>
          <w:p>
            <w:r>
              <w:t>Charter Hall Long Wale REIT</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RFF-AU</w:t>
            </w:r>
          </w:p>
        </w:tc>
        <w:tc>
          <w:tcPr>
            <w:tcW w:type="dxa" w:w="3685"/>
          </w:tcPr>
          <w:p>
            <w:r>
              <w:t>Rural Funds Group</w:t>
            </w:r>
          </w:p>
        </w:tc>
      </w:tr>
      <w:tr>
        <w:tc>
          <w:tcPr>
            <w:tcW w:type="dxa" w:w="1417"/>
          </w:tcPr>
          <w:p>
            <w:r>
              <w:t>RIO-AU</w:t>
            </w:r>
          </w:p>
        </w:tc>
        <w:tc>
          <w:tcPr>
            <w:tcW w:type="dxa" w:w="3685"/>
          </w:tcPr>
          <w:p>
            <w:r>
              <w:t>Rio Tinto Limited</w:t>
            </w:r>
          </w:p>
        </w:tc>
      </w:tr>
      <w:tr>
        <w:tc>
          <w:tcPr>
            <w:tcW w:type="dxa" w:w="1417"/>
          </w:tcPr>
          <w:p>
            <w:r>
              <w:t>AMZN.NAS</w:t>
            </w:r>
          </w:p>
        </w:tc>
        <w:tc>
          <w:tcPr>
            <w:tcW w:type="dxa" w:w="3685"/>
          </w:tcPr>
          <w:p>
            <w:r>
              <w:t>AMAZON COM INC</w:t>
            </w:r>
          </w:p>
        </w:tc>
      </w:tr>
      <w:tr>
        <w:tc>
          <w:tcPr>
            <w:tcW w:type="dxa" w:w="1417"/>
          </w:tcPr>
          <w:p>
            <w:r>
              <w:t>CKF-AU</w:t>
            </w:r>
          </w:p>
        </w:tc>
        <w:tc>
          <w:tcPr>
            <w:tcW w:type="dxa" w:w="3685"/>
          </w:tcPr>
          <w:p>
            <w:r>
              <w:t>Collins Foods Limited</w:t>
            </w:r>
          </w:p>
        </w:tc>
      </w:tr>
      <w:tr>
        <w:tc>
          <w:tcPr>
            <w:tcW w:type="dxa" w:w="1417"/>
          </w:tcPr>
          <w:p>
            <w:r>
              <w:t>NVDA.NAS</w:t>
            </w:r>
          </w:p>
        </w:tc>
        <w:tc>
          <w:tcPr>
            <w:tcW w:type="dxa" w:w="3685"/>
          </w:tcPr>
          <w:p>
            <w:r>
              <w:t>NVIDIA CORP</w:t>
            </w:r>
          </w:p>
        </w:tc>
      </w:tr>
      <w:tr>
        <w:tc>
          <w:tcPr>
            <w:tcW w:type="dxa" w:w="1417"/>
          </w:tcPr>
          <w:p>
            <w:r>
              <w:t>BWP-AU</w:t>
            </w:r>
          </w:p>
        </w:tc>
        <w:tc>
          <w:tcPr>
            <w:tcW w:type="dxa" w:w="3685"/>
          </w:tcPr>
          <w:p>
            <w:r>
              <w:t>BWP Trust</w:t>
            </w:r>
          </w:p>
        </w:tc>
      </w:tr>
      <w:tr>
        <w:tc>
          <w:tcPr>
            <w:tcW w:type="dxa" w:w="1417"/>
          </w:tcPr>
          <w:p>
            <w:r>
              <w:t>FLT-AU</w:t>
            </w:r>
          </w:p>
        </w:tc>
        <w:tc>
          <w:tcPr>
            <w:tcW w:type="dxa" w:w="3685"/>
          </w:tcPr>
          <w:p>
            <w:r>
              <w:t>Flight Centre Travel Group Limited</w:t>
            </w:r>
          </w:p>
        </w:tc>
      </w:tr>
    </w:tbl>
    <w:p>
      <w:pPr>
        <w:pStyle w:val="Heading2-Green"/>
      </w:pPr>
      <w:r>
        <w:t>Historical Allocation Changes</w:t>
      </w:r>
    </w:p>
    <w:p>
      <w:r>
        <w:drawing>
          <wp:inline xmlns:a="http://schemas.openxmlformats.org/drawingml/2006/main" xmlns:pic="http://schemas.openxmlformats.org/drawingml/2006/picture">
            <wp:extent cx="3240000" cy="2314286"/>
            <wp:docPr id="7" name="Picture 7"/>
            <wp:cNvGraphicFramePr>
              <a:graphicFrameLocks noChangeAspect="1"/>
            </wp:cNvGraphicFramePr>
            <a:graphic>
              <a:graphicData uri="http://schemas.openxmlformats.org/drawingml/2006/picture">
                <pic:pic>
                  <pic:nvPicPr>
                    <pic:cNvPr id="0" name="3_Allocation_FloatHistory.png"/>
                    <pic:cNvPicPr/>
                  </pic:nvPicPr>
                  <pic:blipFill>
                    <a:blip r:embed="rId23"/>
                    <a:stretch>
                      <a:fillRect/>
                    </a:stretch>
                  </pic:blipFill>
                  <pic:spPr>
                    <a:xfrm>
                      <a:off x="0" y="0"/>
                      <a:ext cx="3240000" cy="2314286"/>
                    </a:xfrm>
                    <a:prstGeom prst="rect"/>
                  </pic:spPr>
                </pic:pic>
              </a:graphicData>
            </a:graphic>
          </wp:inline>
        </w:drawing>
      </w:r>
    </w:p>
    <w:br w:type="column"/>
    <w:p>
      <w:pPr>
        <w:pStyle w:val="Heading2-Green"/>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Green"/>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AF4C7" w14:textId="77777777" w:rsidR="008505BC" w:rsidRDefault="008505BC" w:rsidP="007B4373">
      <w:r>
        <w:separator/>
      </w:r>
    </w:p>
  </w:endnote>
  <w:endnote w:type="continuationSeparator" w:id="0">
    <w:p w14:paraId="7365B17C" w14:textId="77777777" w:rsidR="008505BC" w:rsidRDefault="008505BC"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D3E22" w14:textId="77777777" w:rsidR="008505BC" w:rsidRDefault="008505BC" w:rsidP="007B4373">
      <w:r>
        <w:separator/>
      </w:r>
    </w:p>
  </w:footnote>
  <w:footnote w:type="continuationSeparator" w:id="0">
    <w:p w14:paraId="37B72F41" w14:textId="77777777" w:rsidR="008505BC" w:rsidRDefault="008505BC"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827B8" w14:textId="2AB69F39"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E350C" w14:textId="77777777" w:rsidR="001C33C8" w:rsidRDefault="001C33C8"/>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Green">
    <w:name w:val="Heading1-Green"/>
    <w:basedOn w:val="Heading1"/>
    <w:qFormat/>
    <w:rsid w:val="00BC4145"/>
    <w:pPr>
      <w:numPr>
        <w:numId w:val="0"/>
      </w:numPr>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Green">
    <w:name w:val="Heading2-Green"/>
    <w:basedOn w:val="Heading2-nonumbers"/>
    <w:qFormat/>
    <w:rsid w:val="00C22003"/>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3.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4.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166</cp:revision>
  <cp:lastPrinted>2022-04-29T02:04:00Z</cp:lastPrinted>
  <dcterms:created xsi:type="dcterms:W3CDTF">2022-07-06T04:09:00Z</dcterms:created>
  <dcterms:modified xsi:type="dcterms:W3CDTF">2025-02-10T03:00:00Z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