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1FFDD" w14:textId="0EDACBDA" w:rsidR="00D01BF8" w:rsidRDefault="00D01BF8" w:rsidP="00D01BF8">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wacimagecontainer"/>
          <w:rFonts w:ascii="Segoe UI" w:eastAsiaTheme="majorEastAsia" w:hAnsi="Segoe UI" w:cs="Segoe UI"/>
          <w:noProof/>
          <w:color w:val="64777E"/>
          <w:sz w:val="12"/>
          <w:szCs w:val="12"/>
        </w:rPr>
        <w:drawing>
          <wp:anchor distT="0" distB="0" distL="114300" distR="114300" simplePos="0" relativeHeight="251658240" behindDoc="1" locked="0" layoutInCell="1" allowOverlap="1" wp14:anchorId="02BD7CEB" wp14:editId="6C8FF4D2">
            <wp:simplePos x="0" y="0"/>
            <wp:positionH relativeFrom="page">
              <wp:posOffset>-711</wp:posOffset>
            </wp:positionH>
            <wp:positionV relativeFrom="paragraph">
              <wp:posOffset>-1045134</wp:posOffset>
            </wp:positionV>
            <wp:extent cx="7559675" cy="1703070"/>
            <wp:effectExtent l="0" t="0" r="3175" b="0"/>
            <wp:wrapNone/>
            <wp:docPr id="11"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video g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675"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eop"/>
          <w:rFonts w:ascii="Arial" w:eastAsiaTheme="majorEastAsia" w:hAnsi="Arial" w:cs="Arial"/>
          <w:color w:val="75C104"/>
          <w:sz w:val="28"/>
          <w:szCs w:val="28"/>
        </w:rPr>
        <w:t>September 2024</w:t>
      </w:r>
    </w:p>
    <w:p w14:paraId="11B1A88A" w14:textId="77777777" w:rsidR="00D01BF8" w:rsidRPr="008D30BD" w:rsidRDefault="00D01BF8" w:rsidP="00D01BF8">
      <w:pPr>
        <w:pStyle w:val="paragraph"/>
        <w:spacing w:before="0" w:beforeAutospacing="0" w:after="0" w:afterAutospacing="0"/>
        <w:jc w:val="center"/>
        <w:textAlignment w:val="baseline"/>
        <w:rPr>
          <w:rFonts w:ascii="Arial" w:eastAsiaTheme="majorEastAsia" w:hAnsi="Arial" w:cs="Arial"/>
          <w:color w:val="75C104"/>
          <w:sz w:val="28"/>
          <w:szCs w:val="28"/>
        </w:rPr>
      </w:pPr>
      <w:r>
        <w:rPr>
          <w:rStyle w:val="eop"/>
          <w:rFonts w:ascii="Arial" w:eastAsiaTheme="majorEastAsia" w:hAnsi="Arial" w:cs="Arial"/>
          <w:color w:val="75C104"/>
          <w:sz w:val="28"/>
          <w:szCs w:val="28"/>
        </w:rPr>
        <w:t> </w:t>
      </w:r>
    </w:p>
    <w:p w14:paraId="1E7A2F6D" w14:textId="77777777" w:rsidR="00515BB1" w:rsidRDefault="00515BB1" w:rsidP="00D01BF8">
      <w:pPr>
        <w:pStyle w:val="paragraph"/>
        <w:spacing w:before="0" w:beforeAutospacing="0" w:after="0" w:afterAutospacing="0"/>
        <w:jc w:val="center"/>
        <w:textAlignment w:val="baseline"/>
        <w:rPr>
          <w:rStyle w:val="normaltextrun"/>
          <w:rFonts w:ascii="Arial" w:eastAsiaTheme="majorEastAsia" w:hAnsi="Arial" w:cs="Arial"/>
          <w:color w:val="75C104"/>
          <w:sz w:val="28"/>
          <w:szCs w:val="28"/>
        </w:rPr>
      </w:pPr>
    </w:p>
    <w:p w14:paraId="7B6815F9" w14:textId="77777777" w:rsidR="00515BB1" w:rsidRDefault="00515BB1" w:rsidP="00D01BF8">
      <w:pPr>
        <w:pStyle w:val="paragraph"/>
        <w:spacing w:before="0" w:beforeAutospacing="0" w:after="0" w:afterAutospacing="0"/>
        <w:jc w:val="center"/>
        <w:textAlignment w:val="baseline"/>
        <w:rPr>
          <w:rStyle w:val="normaltextrun"/>
          <w:rFonts w:ascii="Arial" w:eastAsiaTheme="majorEastAsia" w:hAnsi="Arial" w:cs="Arial"/>
          <w:color w:val="75C104"/>
          <w:sz w:val="28"/>
          <w:szCs w:val="28"/>
        </w:rPr>
      </w:pPr>
    </w:p>
    <w:p w14:paraId="679B7525" w14:textId="507A35A0" w:rsidR="00D01BF8" w:rsidRDefault="00D01BF8" w:rsidP="00D01BF8">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color w:val="75C104"/>
          <w:sz w:val="28"/>
          <w:szCs w:val="28"/>
        </w:rPr>
        <w:t>Recommended Fund Review</w:t>
      </w:r>
      <w:r>
        <w:rPr>
          <w:rStyle w:val="eop"/>
          <w:rFonts w:ascii="Arial" w:eastAsiaTheme="majorEastAsia" w:hAnsi="Arial" w:cs="Arial"/>
          <w:color w:val="75C104"/>
          <w:sz w:val="28"/>
          <w:szCs w:val="28"/>
        </w:rPr>
        <w:t> </w:t>
      </w:r>
    </w:p>
    <w:p w14:paraId="51EA036D" w14:textId="77777777" w:rsidR="00D01BF8" w:rsidRDefault="00D01BF8" w:rsidP="00D01BF8">
      <w:pPr>
        <w:pStyle w:val="paragraph"/>
        <w:spacing w:before="0" w:beforeAutospacing="0" w:after="0" w:afterAutospacing="0"/>
        <w:jc w:val="center"/>
        <w:textAlignment w:val="baseline"/>
        <w:rPr>
          <w:rFonts w:ascii="Segoe UI" w:hAnsi="Segoe UI" w:cs="Segoe UI"/>
          <w:color w:val="64777E"/>
          <w:sz w:val="18"/>
          <w:szCs w:val="18"/>
        </w:rPr>
      </w:pPr>
      <w:r>
        <w:rPr>
          <w:rStyle w:val="eop"/>
          <w:rFonts w:ascii="Arial" w:eastAsiaTheme="majorEastAsia" w:hAnsi="Arial" w:cs="Arial"/>
          <w:color w:val="75C104"/>
          <w:sz w:val="28"/>
          <w:szCs w:val="28"/>
        </w:rPr>
        <w:t> </w:t>
      </w:r>
    </w:p>
    <w:p w14:paraId="19925786" w14:textId="1A5A7D71" w:rsidR="00D01BF8" w:rsidRDefault="00D01BF8" w:rsidP="00D01BF8">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Australian Eagle Trust (Long-Short Fund)</w:t>
      </w:r>
      <w:r>
        <w:rPr>
          <w:rStyle w:val="tabchar"/>
          <w:rFonts w:ascii="Calibri" w:hAnsi="Calibri" w:cs="Calibri"/>
          <w:color w:val="75C104"/>
          <w:sz w:val="28"/>
          <w:szCs w:val="28"/>
        </w:rPr>
        <w:tab/>
      </w:r>
      <w:r>
        <w:rPr>
          <w:rStyle w:val="eop"/>
          <w:rFonts w:ascii="Arial" w:eastAsiaTheme="majorEastAsia" w:hAnsi="Arial" w:cs="Arial"/>
          <w:color w:val="75C104"/>
          <w:sz w:val="28"/>
          <w:szCs w:val="28"/>
        </w:rPr>
        <w:t> </w:t>
      </w:r>
    </w:p>
    <w:p w14:paraId="1E346AE0" w14:textId="6037F14E" w:rsidR="00D01BF8" w:rsidRDefault="00D01BF8" w:rsidP="00D01BF8">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 xml:space="preserve">APIR: </w:t>
      </w:r>
      <w:r w:rsidRPr="00D01BF8">
        <w:rPr>
          <w:rStyle w:val="normaltextrun"/>
          <w:rFonts w:ascii="Arial" w:eastAsiaTheme="majorEastAsia" w:hAnsi="Arial" w:cs="Arial"/>
          <w:b/>
          <w:bCs/>
          <w:color w:val="75C104"/>
          <w:sz w:val="28"/>
          <w:szCs w:val="28"/>
        </w:rPr>
        <w:t>ALR2783AU</w:t>
      </w:r>
    </w:p>
    <w:p w14:paraId="5BF4D9E2" w14:textId="77777777" w:rsidR="00D01BF8" w:rsidRDefault="00D01BF8" w:rsidP="00D01BF8">
      <w:pPr>
        <w:pStyle w:val="paragraph"/>
        <w:spacing w:before="0" w:beforeAutospacing="0" w:after="0" w:afterAutospacing="0"/>
        <w:textAlignment w:val="baseline"/>
        <w:rPr>
          <w:rFonts w:ascii="Segoe UI" w:hAnsi="Segoe UI" w:cs="Segoe UI"/>
          <w:color w:val="4A585E"/>
          <w:sz w:val="18"/>
          <w:szCs w:val="18"/>
        </w:rPr>
      </w:pPr>
      <w:r>
        <w:rPr>
          <w:rStyle w:val="eop"/>
          <w:rFonts w:ascii="Arial" w:eastAsiaTheme="majorEastAsia" w:hAnsi="Arial" w:cs="Arial"/>
          <w:color w:val="76C204"/>
          <w:sz w:val="28"/>
          <w:szCs w:val="28"/>
        </w:rPr>
        <w:t> </w:t>
      </w:r>
    </w:p>
    <w:p w14:paraId="5B578A04" w14:textId="77777777" w:rsidR="00D01BF8" w:rsidRDefault="00D01BF8" w:rsidP="00D01BF8">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FUND</w:t>
      </w:r>
      <w:r>
        <w:rPr>
          <w:rStyle w:val="eop"/>
          <w:rFonts w:ascii="Arial" w:eastAsiaTheme="majorEastAsia" w:hAnsi="Arial" w:cs="Arial"/>
          <w:color w:val="76C204"/>
          <w:sz w:val="28"/>
          <w:szCs w:val="28"/>
        </w:rPr>
        <w:t> </w:t>
      </w:r>
    </w:p>
    <w:p w14:paraId="4856B044" w14:textId="75DEBCDF" w:rsidR="00D01BF8" w:rsidRPr="00A636EB" w:rsidRDefault="00D01BF8" w:rsidP="00D01BF8">
      <w:pPr>
        <w:pStyle w:val="paragraph"/>
        <w:spacing w:before="0" w:beforeAutospacing="0" w:after="0" w:afterAutospacing="0"/>
        <w:textAlignment w:val="baseline"/>
        <w:rPr>
          <w:rStyle w:val="eop"/>
          <w:rFonts w:ascii="Arial" w:eastAsiaTheme="majorEastAsia" w:hAnsi="Arial" w:cs="Arial"/>
          <w:color w:val="64777E"/>
          <w:sz w:val="18"/>
          <w:szCs w:val="18"/>
        </w:rPr>
      </w:pPr>
      <w:r>
        <w:rPr>
          <w:rStyle w:val="normaltextrun"/>
          <w:rFonts w:ascii="Arial" w:eastAsiaTheme="majorEastAsia" w:hAnsi="Arial" w:cs="Arial"/>
          <w:color w:val="64777E"/>
          <w:sz w:val="18"/>
          <w:szCs w:val="18"/>
        </w:rPr>
        <w:t xml:space="preserve">The </w:t>
      </w:r>
      <w:r>
        <w:rPr>
          <w:rStyle w:val="normaltextrun"/>
          <w:rFonts w:ascii="Arial" w:eastAsiaTheme="majorEastAsia" w:hAnsi="Arial" w:cs="Arial"/>
          <w:b/>
          <w:bCs/>
          <w:color w:val="64777E"/>
          <w:sz w:val="18"/>
          <w:szCs w:val="18"/>
        </w:rPr>
        <w:t xml:space="preserve">Australian Eagle Trust (Long-Short Fund) </w:t>
      </w:r>
      <w:r>
        <w:rPr>
          <w:rStyle w:val="normaltextrun"/>
          <w:rFonts w:ascii="Arial" w:eastAsiaTheme="majorEastAsia" w:hAnsi="Arial" w:cs="Arial"/>
          <w:color w:val="64777E"/>
          <w:sz w:val="18"/>
          <w:szCs w:val="18"/>
        </w:rPr>
        <w:t xml:space="preserve">(the “Fund”) is managed by Australian Eagle and was incepted in July 2016. Australian Eagle is a large cap Australian equities </w:t>
      </w:r>
      <w:r w:rsidR="00A636EB">
        <w:rPr>
          <w:rStyle w:val="normaltextrun"/>
          <w:rFonts w:ascii="Arial" w:eastAsiaTheme="majorEastAsia" w:hAnsi="Arial" w:cs="Arial"/>
          <w:color w:val="64777E"/>
          <w:sz w:val="18"/>
          <w:szCs w:val="18"/>
        </w:rPr>
        <w:t xml:space="preserve">manager </w:t>
      </w:r>
      <w:r>
        <w:rPr>
          <w:rStyle w:val="normaltextrun"/>
          <w:rFonts w:ascii="Arial" w:eastAsiaTheme="majorEastAsia" w:hAnsi="Arial" w:cs="Arial"/>
          <w:color w:val="64777E"/>
          <w:sz w:val="18"/>
          <w:szCs w:val="18"/>
        </w:rPr>
        <w:t>with a focus on quality</w:t>
      </w:r>
      <w:r w:rsidR="00A636EB">
        <w:rPr>
          <w:rStyle w:val="normaltextrun"/>
          <w:rFonts w:ascii="Arial" w:eastAsiaTheme="majorEastAsia" w:hAnsi="Arial" w:cs="Arial"/>
          <w:color w:val="64777E"/>
          <w:sz w:val="18"/>
          <w:szCs w:val="18"/>
        </w:rPr>
        <w:t>.</w:t>
      </w:r>
    </w:p>
    <w:p w14:paraId="40B5015C" w14:textId="77777777" w:rsidR="00D01BF8" w:rsidRDefault="00D01BF8" w:rsidP="00D01BF8">
      <w:pPr>
        <w:pStyle w:val="paragraph"/>
        <w:spacing w:before="0" w:beforeAutospacing="0" w:after="0" w:afterAutospacing="0"/>
        <w:textAlignment w:val="baseline"/>
        <w:rPr>
          <w:rFonts w:ascii="Segoe UI" w:hAnsi="Segoe UI" w:cs="Segoe UI"/>
          <w:color w:val="4A585E"/>
          <w:sz w:val="18"/>
          <w:szCs w:val="18"/>
        </w:rPr>
      </w:pPr>
    </w:p>
    <w:p w14:paraId="7B020C65" w14:textId="3BB7CCF1" w:rsidR="00D01BF8" w:rsidRDefault="00D01BF8" w:rsidP="00D01BF8">
      <w:pPr>
        <w:pStyle w:val="paragraph"/>
        <w:spacing w:before="0" w:beforeAutospacing="0" w:after="0" w:afterAutospacing="0"/>
        <w:textAlignment w:val="baseline"/>
        <w:rPr>
          <w:rFonts w:ascii="Segoe UI" w:hAnsi="Segoe UI" w:cs="Segoe UI"/>
          <w:color w:val="64777E"/>
          <w:sz w:val="18"/>
          <w:szCs w:val="18"/>
        </w:rPr>
      </w:pPr>
      <w:r>
        <w:rPr>
          <w:rStyle w:val="normaltextrun"/>
          <w:rFonts w:ascii="Arial" w:eastAsiaTheme="majorEastAsia" w:hAnsi="Arial" w:cs="Arial"/>
          <w:color w:val="64777E"/>
          <w:sz w:val="18"/>
          <w:szCs w:val="18"/>
        </w:rPr>
        <w:t>It employs a long</w:t>
      </w:r>
      <w:r w:rsidR="00A636EB">
        <w:rPr>
          <w:rStyle w:val="normaltextrun"/>
          <w:rFonts w:ascii="Arial" w:eastAsiaTheme="majorEastAsia" w:hAnsi="Arial" w:cs="Arial"/>
          <w:color w:val="64777E"/>
          <w:sz w:val="18"/>
          <w:szCs w:val="18"/>
        </w:rPr>
        <w:t>-short</w:t>
      </w:r>
      <w:r>
        <w:rPr>
          <w:rStyle w:val="normaltextrun"/>
          <w:rFonts w:ascii="Arial" w:eastAsiaTheme="majorEastAsia" w:hAnsi="Arial" w:cs="Arial"/>
          <w:color w:val="64777E"/>
          <w:sz w:val="18"/>
          <w:szCs w:val="18"/>
        </w:rPr>
        <w:t xml:space="preserve">, low turnover, portfolio </w:t>
      </w:r>
      <w:r w:rsidR="00A636EB">
        <w:rPr>
          <w:rStyle w:val="normaltextrun"/>
          <w:rFonts w:ascii="Arial" w:eastAsiaTheme="majorEastAsia" w:hAnsi="Arial" w:cs="Arial"/>
          <w:color w:val="64777E"/>
          <w:sz w:val="18"/>
          <w:szCs w:val="18"/>
        </w:rPr>
        <w:t>with 25-35 longs and 12-25 shorts</w:t>
      </w:r>
      <w:r>
        <w:rPr>
          <w:rStyle w:val="normaltextrun"/>
          <w:rFonts w:ascii="Arial" w:eastAsiaTheme="majorEastAsia" w:hAnsi="Arial" w:cs="Arial"/>
          <w:color w:val="64777E"/>
          <w:sz w:val="18"/>
          <w:szCs w:val="18"/>
        </w:rPr>
        <w:t>. The Fund</w:t>
      </w:r>
      <w:r>
        <w:rPr>
          <w:rStyle w:val="normaltextrun"/>
          <w:rFonts w:ascii="Arial" w:eastAsiaTheme="majorEastAsia" w:hAnsi="Arial" w:cs="Arial"/>
          <w:color w:val="64777E"/>
          <w:sz w:val="18"/>
          <w:szCs w:val="18"/>
          <w:lang w:val="en-US"/>
        </w:rPr>
        <w:t xml:space="preserve"> is structured as an open-ended unlisted registered managed investment scheme.</w:t>
      </w:r>
    </w:p>
    <w:p w14:paraId="18A28710" w14:textId="77777777" w:rsidR="00D01BF8" w:rsidRDefault="00D01BF8" w:rsidP="00D01BF8">
      <w:pPr>
        <w:pStyle w:val="paragraph"/>
        <w:spacing w:before="0" w:beforeAutospacing="0" w:after="0" w:afterAutospacing="0"/>
        <w:textAlignment w:val="baseline"/>
        <w:rPr>
          <w:rFonts w:ascii="Segoe UI" w:hAnsi="Segoe UI" w:cs="Segoe UI"/>
          <w:color w:val="64777E"/>
          <w:sz w:val="18"/>
          <w:szCs w:val="18"/>
        </w:rPr>
      </w:pPr>
      <w:r>
        <w:rPr>
          <w:rStyle w:val="normaltextrun"/>
          <w:rFonts w:ascii="Arial" w:eastAsiaTheme="majorEastAsia" w:hAnsi="Arial" w:cs="Arial"/>
          <w:color w:val="64777E"/>
          <w:sz w:val="18"/>
          <w:szCs w:val="18"/>
          <w:lang w:val="en-US"/>
        </w:rPr>
        <w:t> </w:t>
      </w:r>
      <w:r>
        <w:rPr>
          <w:rStyle w:val="eop"/>
          <w:rFonts w:ascii="Arial" w:eastAsiaTheme="majorEastAsia" w:hAnsi="Arial" w:cs="Arial"/>
          <w:color w:val="64777E"/>
          <w:sz w:val="18"/>
          <w:szCs w:val="18"/>
        </w:rPr>
        <w:t> </w:t>
      </w:r>
    </w:p>
    <w:p w14:paraId="2E243AC5" w14:textId="77777777" w:rsidR="00D01BF8" w:rsidRDefault="00D01BF8" w:rsidP="00D01BF8">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INVESTMENT OBJECTIVE</w:t>
      </w:r>
      <w:r>
        <w:rPr>
          <w:rStyle w:val="eop"/>
          <w:rFonts w:ascii="Arial" w:eastAsiaTheme="majorEastAsia" w:hAnsi="Arial" w:cs="Arial"/>
          <w:color w:val="76C204"/>
          <w:sz w:val="28"/>
          <w:szCs w:val="28"/>
        </w:rPr>
        <w:t> </w:t>
      </w:r>
    </w:p>
    <w:p w14:paraId="3EEF55C2" w14:textId="3F4C5D22" w:rsidR="00D01BF8" w:rsidRPr="0063057F" w:rsidRDefault="00D01BF8" w:rsidP="00D01BF8">
      <w:pPr>
        <w:pStyle w:val="paragraph"/>
        <w:spacing w:after="0"/>
        <w:textAlignment w:val="baseline"/>
        <w:rPr>
          <w:rFonts w:ascii="Arial" w:eastAsiaTheme="majorEastAsia" w:hAnsi="Arial" w:cs="Arial"/>
          <w:color w:val="64777E"/>
          <w:sz w:val="18"/>
          <w:szCs w:val="18"/>
          <w:lang w:val="en-US"/>
        </w:rPr>
      </w:pPr>
      <w:r w:rsidRPr="0063057F">
        <w:rPr>
          <w:rStyle w:val="normaltextrun"/>
          <w:rFonts w:ascii="Arial" w:eastAsiaTheme="majorEastAsia" w:hAnsi="Arial" w:cs="Arial"/>
          <w:color w:val="64777E"/>
          <w:sz w:val="18"/>
          <w:szCs w:val="18"/>
          <w:lang w:val="en-US"/>
        </w:rPr>
        <w:t xml:space="preserve">The Fund aims to outperform the </w:t>
      </w:r>
      <w:r w:rsidRPr="005A07C3">
        <w:rPr>
          <w:rFonts w:ascii="Arial" w:eastAsiaTheme="majorEastAsia" w:hAnsi="Arial" w:cs="Arial"/>
          <w:color w:val="64777E"/>
          <w:sz w:val="18"/>
          <w:szCs w:val="18"/>
        </w:rPr>
        <w:t xml:space="preserve">S&amp;P/ASX </w:t>
      </w:r>
      <w:r w:rsidR="00A636EB">
        <w:rPr>
          <w:rFonts w:ascii="Arial" w:eastAsiaTheme="majorEastAsia" w:hAnsi="Arial" w:cs="Arial"/>
          <w:color w:val="64777E"/>
          <w:sz w:val="18"/>
          <w:szCs w:val="18"/>
        </w:rPr>
        <w:t>100 Accumulation Ind</w:t>
      </w:r>
      <w:r w:rsidRPr="005A07C3">
        <w:rPr>
          <w:rFonts w:ascii="Arial" w:eastAsiaTheme="majorEastAsia" w:hAnsi="Arial" w:cs="Arial"/>
          <w:color w:val="64777E"/>
          <w:sz w:val="18"/>
          <w:szCs w:val="18"/>
        </w:rPr>
        <w:t>ex</w:t>
      </w:r>
      <w:r>
        <w:rPr>
          <w:rFonts w:ascii="Arial" w:eastAsiaTheme="majorEastAsia" w:hAnsi="Arial" w:cs="Arial"/>
          <w:color w:val="64777E"/>
          <w:sz w:val="18"/>
          <w:szCs w:val="18"/>
        </w:rPr>
        <w:t xml:space="preserve"> (‘the </w:t>
      </w:r>
      <w:r w:rsidRPr="0063057F">
        <w:rPr>
          <w:rStyle w:val="normaltextrun"/>
          <w:rFonts w:ascii="Arial" w:eastAsiaTheme="majorEastAsia" w:hAnsi="Arial" w:cs="Arial"/>
          <w:color w:val="64777E"/>
          <w:sz w:val="18"/>
          <w:szCs w:val="18"/>
          <w:lang w:val="en-US"/>
        </w:rPr>
        <w:t>Benchmark</w:t>
      </w:r>
      <w:r>
        <w:rPr>
          <w:rStyle w:val="normaltextrun"/>
          <w:rFonts w:ascii="Arial" w:eastAsiaTheme="majorEastAsia" w:hAnsi="Arial" w:cs="Arial"/>
          <w:color w:val="64777E"/>
          <w:sz w:val="18"/>
          <w:szCs w:val="18"/>
          <w:lang w:val="en-US"/>
        </w:rPr>
        <w:t>’)</w:t>
      </w:r>
      <w:r w:rsidRPr="0063057F">
        <w:rPr>
          <w:rStyle w:val="normaltextrun"/>
          <w:rFonts w:ascii="Arial" w:eastAsiaTheme="majorEastAsia" w:hAnsi="Arial" w:cs="Arial"/>
          <w:color w:val="64777E"/>
          <w:sz w:val="18"/>
          <w:szCs w:val="18"/>
          <w:lang w:val="en-US"/>
        </w:rPr>
        <w:t xml:space="preserve"> over a rolling five-year period by investing in a</w:t>
      </w:r>
      <w:r>
        <w:rPr>
          <w:rStyle w:val="normaltextrun"/>
          <w:rFonts w:ascii="Arial" w:eastAsiaTheme="majorEastAsia" w:hAnsi="Arial" w:cs="Arial"/>
          <w:color w:val="64777E"/>
          <w:sz w:val="18"/>
          <w:szCs w:val="18"/>
          <w:lang w:val="en-US"/>
        </w:rPr>
        <w:t xml:space="preserve"> </w:t>
      </w:r>
      <w:r w:rsidRPr="0063057F">
        <w:rPr>
          <w:rStyle w:val="normaltextrun"/>
          <w:rFonts w:ascii="Arial" w:eastAsiaTheme="majorEastAsia" w:hAnsi="Arial" w:cs="Arial"/>
          <w:color w:val="64777E"/>
          <w:sz w:val="18"/>
          <w:szCs w:val="18"/>
          <w:lang w:val="en-US"/>
        </w:rPr>
        <w:t>portfolio of Australian companies.</w:t>
      </w:r>
      <w:r>
        <w:rPr>
          <w:rStyle w:val="normaltextrun"/>
          <w:rFonts w:ascii="Arial" w:eastAsiaTheme="majorEastAsia" w:hAnsi="Arial" w:cs="Arial"/>
          <w:color w:val="64777E"/>
          <w:sz w:val="18"/>
          <w:szCs w:val="18"/>
          <w:lang w:val="en-US"/>
        </w:rPr>
        <w:t xml:space="preserve"> </w:t>
      </w:r>
    </w:p>
    <w:p w14:paraId="7EB9C42C" w14:textId="27A3251E" w:rsidR="00D01BF8" w:rsidRDefault="00D01BF8" w:rsidP="00D01BF8">
      <w:pPr>
        <w:pStyle w:val="paragraph"/>
        <w:spacing w:before="0" w:beforeAutospacing="0" w:after="0" w:afterAutospacing="0"/>
        <w:textAlignment w:val="baseline"/>
        <w:rPr>
          <w:rFonts w:ascii="Segoe UI" w:hAnsi="Segoe UI" w:cs="Segoe UI"/>
          <w:color w:val="64777E"/>
          <w:sz w:val="18"/>
          <w:szCs w:val="18"/>
        </w:rPr>
      </w:pPr>
      <w:r>
        <w:rPr>
          <w:rStyle w:val="normaltextrun"/>
          <w:rFonts w:ascii="Arial" w:eastAsiaTheme="majorEastAsia" w:hAnsi="Arial" w:cs="Arial"/>
          <w:color w:val="64777E"/>
          <w:sz w:val="18"/>
          <w:szCs w:val="18"/>
          <w:lang w:val="en-US"/>
        </w:rPr>
        <w:t>The Fund is a qualit</w:t>
      </w:r>
      <w:r w:rsidR="00A636EB">
        <w:rPr>
          <w:rStyle w:val="normaltextrun"/>
          <w:rFonts w:ascii="Arial" w:eastAsiaTheme="majorEastAsia" w:hAnsi="Arial" w:cs="Arial"/>
          <w:color w:val="64777E"/>
          <w:sz w:val="18"/>
          <w:szCs w:val="18"/>
          <w:lang w:val="en-US"/>
        </w:rPr>
        <w:t>y</w:t>
      </w:r>
      <w:r>
        <w:rPr>
          <w:rStyle w:val="normaltextrun"/>
          <w:rFonts w:ascii="Arial" w:eastAsiaTheme="majorEastAsia" w:hAnsi="Arial" w:cs="Arial"/>
          <w:color w:val="64777E"/>
          <w:sz w:val="18"/>
          <w:szCs w:val="18"/>
          <w:lang w:val="en-US"/>
        </w:rPr>
        <w:t xml:space="preserve">, actively managed fund that invests in Australian listed companies. </w:t>
      </w:r>
      <w:r w:rsidR="00A636EB">
        <w:rPr>
          <w:rStyle w:val="normaltextrun"/>
          <w:rFonts w:ascii="Arial" w:eastAsiaTheme="majorEastAsia" w:hAnsi="Arial" w:cs="Arial"/>
          <w:color w:val="64777E"/>
          <w:sz w:val="18"/>
          <w:szCs w:val="18"/>
          <w:lang w:val="en-US"/>
        </w:rPr>
        <w:t>Australian Eagle</w:t>
      </w:r>
      <w:r>
        <w:rPr>
          <w:rStyle w:val="normaltextrun"/>
          <w:rFonts w:ascii="Arial" w:eastAsiaTheme="majorEastAsia" w:hAnsi="Arial" w:cs="Arial"/>
          <w:color w:val="64777E"/>
          <w:sz w:val="18"/>
          <w:szCs w:val="18"/>
          <w:lang w:val="en-US"/>
        </w:rPr>
        <w:t xml:space="preserve"> is focused on generating returns through </w:t>
      </w:r>
      <w:r w:rsidR="00285456">
        <w:rPr>
          <w:rStyle w:val="normaltextrun"/>
          <w:rFonts w:ascii="Arial" w:eastAsiaTheme="majorEastAsia" w:hAnsi="Arial" w:cs="Arial"/>
          <w:color w:val="64777E"/>
          <w:sz w:val="18"/>
          <w:szCs w:val="18"/>
          <w:lang w:val="en-US"/>
        </w:rPr>
        <w:t>differentiated</w:t>
      </w:r>
      <w:r>
        <w:rPr>
          <w:rStyle w:val="normaltextrun"/>
          <w:rFonts w:ascii="Arial" w:eastAsiaTheme="majorEastAsia" w:hAnsi="Arial" w:cs="Arial"/>
          <w:color w:val="64777E"/>
          <w:sz w:val="18"/>
          <w:szCs w:val="18"/>
          <w:lang w:val="en-US"/>
        </w:rPr>
        <w:t xml:space="preserve"> insights into the fundamentals of a stock coupled with a valuation-overlay. The Fund is </w:t>
      </w:r>
      <w:r w:rsidR="00ED0AF6">
        <w:rPr>
          <w:rStyle w:val="normaltextrun"/>
          <w:rFonts w:ascii="Arial" w:eastAsiaTheme="majorEastAsia" w:hAnsi="Arial" w:cs="Arial"/>
          <w:color w:val="64777E"/>
          <w:sz w:val="18"/>
          <w:szCs w:val="18"/>
          <w:lang w:val="en-US"/>
        </w:rPr>
        <w:t>typically 150% long and 50% short resulting in a net 100% long exposure.</w:t>
      </w:r>
    </w:p>
    <w:p w14:paraId="37A7BDE0" w14:textId="77777777" w:rsidR="00D01BF8" w:rsidRDefault="00D01BF8" w:rsidP="00D01BF8">
      <w:pPr>
        <w:pStyle w:val="paragraph"/>
        <w:spacing w:before="0" w:beforeAutospacing="0" w:after="0" w:afterAutospacing="0"/>
        <w:textAlignment w:val="baseline"/>
        <w:rPr>
          <w:rFonts w:ascii="Segoe UI" w:hAnsi="Segoe UI" w:cs="Segoe UI"/>
          <w:color w:val="64777E"/>
          <w:sz w:val="18"/>
          <w:szCs w:val="18"/>
        </w:rPr>
      </w:pPr>
      <w:r>
        <w:rPr>
          <w:rStyle w:val="eop"/>
          <w:rFonts w:ascii="Arial" w:eastAsiaTheme="majorEastAsia" w:hAnsi="Arial" w:cs="Arial"/>
          <w:color w:val="64777E"/>
          <w:sz w:val="18"/>
          <w:szCs w:val="18"/>
        </w:rPr>
        <w:t> </w:t>
      </w:r>
    </w:p>
    <w:p w14:paraId="392C17D0" w14:textId="77777777" w:rsidR="00D01BF8" w:rsidRPr="00437C79" w:rsidRDefault="00D01BF8" w:rsidP="00D01BF8">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GOVERNANCE AND COMPLIANCE</w:t>
      </w:r>
      <w:r>
        <w:rPr>
          <w:rStyle w:val="eop"/>
          <w:rFonts w:ascii="Arial" w:eastAsiaTheme="majorEastAsia" w:hAnsi="Arial" w:cs="Arial"/>
          <w:color w:val="76C204"/>
          <w:sz w:val="28"/>
          <w:szCs w:val="28"/>
        </w:rPr>
        <w:t> </w:t>
      </w:r>
    </w:p>
    <w:p w14:paraId="6B9A4D71" w14:textId="77777777" w:rsidR="00D01BF8" w:rsidRPr="00B37E61" w:rsidRDefault="00D01BF8" w:rsidP="00D01BF8">
      <w:pPr>
        <w:pBdr>
          <w:top w:val="nil"/>
          <w:left w:val="nil"/>
          <w:bottom w:val="nil"/>
          <w:right w:val="nil"/>
          <w:between w:val="nil"/>
        </w:pBdr>
        <w:spacing w:after="120" w:line="276" w:lineRule="auto"/>
        <w:rPr>
          <w:rFonts w:ascii="Arial" w:eastAsia="Calibri" w:hAnsi="Arial" w:cs="Times New Roman (Body CS)"/>
          <w:color w:val="76C204"/>
          <w:kern w:val="0"/>
          <w:sz w:val="20"/>
          <w:szCs w:val="20"/>
          <w14:ligatures w14:val="none"/>
        </w:rPr>
      </w:pPr>
      <w:r w:rsidRPr="00B37E61">
        <w:rPr>
          <w:rFonts w:ascii="Arial" w:eastAsia="Calibri" w:hAnsi="Arial" w:cs="Times New Roman (Body CS)"/>
          <w:color w:val="76C204"/>
          <w:kern w:val="0"/>
          <w:sz w:val="20"/>
          <w:szCs w:val="20"/>
          <w14:ligatures w14:val="none"/>
        </w:rPr>
        <w:t>Responsible Entity</w:t>
      </w:r>
    </w:p>
    <w:p w14:paraId="1999E1D0" w14:textId="118AF5C7" w:rsidR="00D01BF8" w:rsidRPr="00B37E61" w:rsidRDefault="00D01BF8" w:rsidP="00D01BF8">
      <w:pPr>
        <w:autoSpaceDE w:val="0"/>
        <w:autoSpaceDN w:val="0"/>
        <w:adjustRightInd w:val="0"/>
        <w:spacing w:after="0" w:line="276" w:lineRule="auto"/>
        <w:rPr>
          <w:rFonts w:ascii="Arial" w:eastAsia="Arial" w:hAnsi="Arial" w:cs="Arial"/>
          <w:color w:val="64777E"/>
          <w:kern w:val="0"/>
          <w:sz w:val="18"/>
          <w:szCs w:val="18"/>
          <w:lang w:eastAsia="en-GB"/>
          <w14:ligatures w14:val="none"/>
        </w:rPr>
      </w:pPr>
      <w:r>
        <w:rPr>
          <w:rFonts w:ascii="Arial" w:eastAsia="Arial" w:hAnsi="Arial" w:cs="Arial"/>
          <w:color w:val="64777E"/>
          <w:kern w:val="0"/>
          <w:sz w:val="18"/>
          <w:szCs w:val="18"/>
          <w:lang w:eastAsia="en-GB"/>
          <w14:ligatures w14:val="none"/>
        </w:rPr>
        <w:t>The Trust Company (‘Perpetual’, ‘the RE’)</w:t>
      </w:r>
      <w:r w:rsidRPr="00B37E61">
        <w:rPr>
          <w:rFonts w:ascii="Arial" w:eastAsia="Arial" w:hAnsi="Arial" w:cs="Arial"/>
          <w:color w:val="64777E"/>
          <w:kern w:val="0"/>
          <w:sz w:val="18"/>
          <w:szCs w:val="18"/>
          <w:lang w:eastAsia="en-GB"/>
          <w14:ligatures w14:val="none"/>
        </w:rPr>
        <w:t xml:space="preserve"> is the Responsible Entity of the </w:t>
      </w:r>
      <w:r w:rsidR="00D401C6">
        <w:rPr>
          <w:rFonts w:ascii="Arial" w:eastAsia="Arial" w:hAnsi="Arial" w:cs="Arial"/>
          <w:color w:val="64777E"/>
          <w:kern w:val="0"/>
          <w:sz w:val="18"/>
          <w:szCs w:val="18"/>
          <w:lang w:eastAsia="en-GB"/>
          <w14:ligatures w14:val="none"/>
        </w:rPr>
        <w:t xml:space="preserve">Australian Eagle Long </w:t>
      </w:r>
      <w:r w:rsidR="008D572A">
        <w:rPr>
          <w:rFonts w:ascii="Arial" w:eastAsia="Arial" w:hAnsi="Arial" w:cs="Arial"/>
          <w:color w:val="64777E"/>
          <w:kern w:val="0"/>
          <w:sz w:val="18"/>
          <w:szCs w:val="18"/>
          <w:lang w:eastAsia="en-GB"/>
          <w14:ligatures w14:val="none"/>
        </w:rPr>
        <w:t>Short</w:t>
      </w:r>
      <w:r>
        <w:rPr>
          <w:rFonts w:ascii="Arial" w:eastAsia="Arial" w:hAnsi="Arial" w:cs="Arial"/>
          <w:color w:val="64777E"/>
          <w:kern w:val="0"/>
          <w:sz w:val="18"/>
          <w:szCs w:val="18"/>
          <w:lang w:eastAsia="en-GB"/>
          <w14:ligatures w14:val="none"/>
        </w:rPr>
        <w:t xml:space="preserve"> Fund</w:t>
      </w:r>
      <w:r w:rsidRPr="00B37E61">
        <w:rPr>
          <w:rFonts w:ascii="Arial" w:eastAsia="Arial" w:hAnsi="Arial" w:cs="Arial"/>
          <w:color w:val="64777E"/>
          <w:kern w:val="0"/>
          <w:sz w:val="18"/>
          <w:szCs w:val="18"/>
          <w:lang w:eastAsia="en-GB"/>
          <w14:ligatures w14:val="none"/>
        </w:rPr>
        <w:t xml:space="preserve">. </w:t>
      </w:r>
      <w:r>
        <w:rPr>
          <w:rFonts w:ascii="Arial" w:eastAsia="Arial" w:hAnsi="Arial" w:cs="Arial"/>
          <w:color w:val="64777E"/>
          <w:kern w:val="0"/>
          <w:sz w:val="18"/>
          <w:szCs w:val="18"/>
          <w:lang w:eastAsia="en-GB"/>
          <w14:ligatures w14:val="none"/>
        </w:rPr>
        <w:t>Pleasingly the RE is</w:t>
      </w:r>
      <w:r w:rsidR="00FC20E8">
        <w:rPr>
          <w:rFonts w:ascii="Arial" w:eastAsia="Arial" w:hAnsi="Arial" w:cs="Arial"/>
          <w:color w:val="64777E"/>
          <w:kern w:val="0"/>
          <w:sz w:val="18"/>
          <w:szCs w:val="18"/>
          <w:lang w:eastAsia="en-GB"/>
          <w14:ligatures w14:val="none"/>
        </w:rPr>
        <w:t xml:space="preserve"> a tier one service provider and</w:t>
      </w:r>
      <w:r>
        <w:rPr>
          <w:rFonts w:ascii="Arial" w:eastAsia="Arial" w:hAnsi="Arial" w:cs="Arial"/>
          <w:color w:val="64777E"/>
          <w:kern w:val="0"/>
          <w:sz w:val="18"/>
          <w:szCs w:val="18"/>
          <w:lang w:eastAsia="en-GB"/>
          <w14:ligatures w14:val="none"/>
        </w:rPr>
        <w:t xml:space="preserve"> not a related party.</w:t>
      </w:r>
    </w:p>
    <w:p w14:paraId="3F78A27C" w14:textId="77777777" w:rsidR="00D01BF8" w:rsidRPr="00B37E61" w:rsidRDefault="00D01BF8" w:rsidP="00D01BF8">
      <w:pPr>
        <w:autoSpaceDE w:val="0"/>
        <w:autoSpaceDN w:val="0"/>
        <w:adjustRightInd w:val="0"/>
        <w:spacing w:after="0" w:line="276" w:lineRule="auto"/>
        <w:rPr>
          <w:rFonts w:ascii="Arial" w:eastAsia="Arial" w:hAnsi="Arial" w:cs="Arial"/>
          <w:color w:val="64777E"/>
          <w:kern w:val="0"/>
          <w:sz w:val="18"/>
          <w:szCs w:val="18"/>
          <w:lang w:eastAsia="en-GB"/>
          <w14:ligatures w14:val="none"/>
        </w:rPr>
      </w:pPr>
    </w:p>
    <w:p w14:paraId="11FE3230" w14:textId="77777777" w:rsidR="00D01BF8" w:rsidRPr="00B37E61" w:rsidRDefault="00D01BF8" w:rsidP="00D01BF8">
      <w:pPr>
        <w:pBdr>
          <w:top w:val="nil"/>
          <w:left w:val="nil"/>
          <w:bottom w:val="nil"/>
          <w:right w:val="nil"/>
          <w:between w:val="nil"/>
        </w:pBdr>
        <w:spacing w:after="120" w:line="276" w:lineRule="auto"/>
        <w:rPr>
          <w:rFonts w:ascii="Arial" w:eastAsia="Calibri" w:hAnsi="Arial" w:cs="Times New Roman (Body CS)"/>
          <w:color w:val="76C204"/>
          <w:kern w:val="0"/>
          <w:sz w:val="22"/>
          <w:szCs w:val="22"/>
          <w14:ligatures w14:val="none"/>
        </w:rPr>
      </w:pPr>
      <w:r w:rsidRPr="00B37E61">
        <w:rPr>
          <w:rFonts w:ascii="Arial" w:eastAsia="Calibri" w:hAnsi="Arial" w:cs="Times New Roman (Body CS)"/>
          <w:color w:val="76C204"/>
          <w:kern w:val="0"/>
          <w:sz w:val="22"/>
          <w:szCs w:val="22"/>
          <w14:ligatures w14:val="none"/>
        </w:rPr>
        <w:t>Compliance</w:t>
      </w:r>
    </w:p>
    <w:p w14:paraId="5FD80552" w14:textId="77777777" w:rsidR="00D01BF8" w:rsidRPr="00B37E61" w:rsidRDefault="00D01BF8" w:rsidP="00D01BF8">
      <w:pPr>
        <w:pBdr>
          <w:top w:val="nil"/>
          <w:left w:val="nil"/>
          <w:bottom w:val="nil"/>
          <w:right w:val="nil"/>
          <w:between w:val="nil"/>
        </w:pBdr>
        <w:spacing w:after="120" w:line="276" w:lineRule="auto"/>
        <w:rPr>
          <w:rFonts w:ascii="Arial" w:eastAsia="Calibri" w:hAnsi="Arial" w:cs="Arial"/>
          <w:color w:val="64777E"/>
          <w:kern w:val="0"/>
          <w:sz w:val="28"/>
          <w:szCs w:val="28"/>
          <w14:ligatures w14:val="none"/>
        </w:rPr>
      </w:pPr>
      <w:r w:rsidRPr="00B37E61">
        <w:rPr>
          <w:rFonts w:ascii="Arial" w:eastAsia="Arial" w:hAnsi="Arial" w:cs="Arial"/>
          <w:color w:val="64777E"/>
          <w:kern w:val="0"/>
          <w:sz w:val="18"/>
          <w:szCs w:val="18"/>
          <w14:ligatures w14:val="none"/>
        </w:rPr>
        <w:t>The Responsible Entity’s Compliance Committee is responsible for overall compliance as part of its function in forming long-term alliances and supporting a stable of investment management businesses.</w:t>
      </w:r>
    </w:p>
    <w:p w14:paraId="7D51093B" w14:textId="77777777" w:rsidR="00D01BF8" w:rsidRPr="00B37E61" w:rsidRDefault="00D01BF8" w:rsidP="00D01BF8">
      <w:pPr>
        <w:autoSpaceDE w:val="0"/>
        <w:autoSpaceDN w:val="0"/>
        <w:adjustRightInd w:val="0"/>
        <w:spacing w:after="0" w:line="276" w:lineRule="auto"/>
        <w:textAlignment w:val="center"/>
        <w:rPr>
          <w:rFonts w:ascii="Arial" w:eastAsia="Arial" w:hAnsi="Arial" w:cs="Arial"/>
          <w:color w:val="64777E"/>
          <w:kern w:val="0"/>
          <w:sz w:val="18"/>
          <w:szCs w:val="18"/>
          <w:lang w:val="en-US"/>
          <w14:ligatures w14:val="none"/>
        </w:rPr>
      </w:pPr>
    </w:p>
    <w:p w14:paraId="28DC1299" w14:textId="77777777" w:rsidR="00D01BF8" w:rsidRPr="00B37E61" w:rsidRDefault="00D01BF8" w:rsidP="00D01BF8">
      <w:pPr>
        <w:pBdr>
          <w:top w:val="nil"/>
          <w:left w:val="nil"/>
          <w:bottom w:val="nil"/>
          <w:right w:val="nil"/>
          <w:between w:val="nil"/>
        </w:pBdr>
        <w:spacing w:after="120" w:line="276" w:lineRule="auto"/>
        <w:rPr>
          <w:rFonts w:ascii="Arial" w:eastAsia="Calibri" w:hAnsi="Arial" w:cs="Times New Roman (Body CS)"/>
          <w:color w:val="76C204"/>
          <w:kern w:val="0"/>
          <w:sz w:val="28"/>
          <w:szCs w:val="28"/>
          <w14:ligatures w14:val="none"/>
        </w:rPr>
      </w:pPr>
      <w:r w:rsidRPr="00B37E61">
        <w:rPr>
          <w:rFonts w:ascii="Arial" w:eastAsia="Calibri" w:hAnsi="Arial" w:cs="Times New Roman (Body CS)"/>
          <w:color w:val="76C204"/>
          <w:kern w:val="0"/>
          <w:sz w:val="28"/>
          <w:szCs w:val="28"/>
          <w14:ligatures w14:val="none"/>
        </w:rPr>
        <w:t xml:space="preserve">FUNDS UNDER MANAGEMENT </w:t>
      </w:r>
    </w:p>
    <w:p w14:paraId="1DC23C4B" w14:textId="15CED1FF" w:rsidR="00D01BF8" w:rsidRDefault="00D01BF8" w:rsidP="00D01BF8">
      <w:pPr>
        <w:numPr>
          <w:ilvl w:val="0"/>
          <w:numId w:val="1"/>
        </w:num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Firmwide - $</w:t>
      </w:r>
      <w:r w:rsidR="00CD534B">
        <w:rPr>
          <w:rFonts w:ascii="Arial" w:eastAsia="Arial" w:hAnsi="Arial" w:cs="Times New Roman (Body CS)"/>
          <w:color w:val="64777E"/>
          <w:kern w:val="0"/>
          <w:sz w:val="18"/>
          <w:szCs w:val="22"/>
          <w14:ligatures w14:val="none"/>
        </w:rPr>
        <w:t>1.1bn</w:t>
      </w:r>
    </w:p>
    <w:p w14:paraId="3F8FD260" w14:textId="02FC0494" w:rsidR="00D01BF8" w:rsidRDefault="00CD534B" w:rsidP="00D01BF8">
      <w:pPr>
        <w:numPr>
          <w:ilvl w:val="0"/>
          <w:numId w:val="1"/>
        </w:num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Australian Eagle Trust (L/S Fund)</w:t>
      </w:r>
      <w:r w:rsidR="00D01BF8">
        <w:rPr>
          <w:rFonts w:ascii="Arial" w:eastAsia="Arial" w:hAnsi="Arial" w:cs="Times New Roman (Body CS)"/>
          <w:color w:val="64777E"/>
          <w:kern w:val="0"/>
          <w:sz w:val="18"/>
          <w:szCs w:val="22"/>
          <w14:ligatures w14:val="none"/>
        </w:rPr>
        <w:t xml:space="preserve"> - $</w:t>
      </w:r>
      <w:r>
        <w:rPr>
          <w:rFonts w:ascii="Arial" w:eastAsia="Arial" w:hAnsi="Arial" w:cs="Times New Roman (Body CS)"/>
          <w:color w:val="64777E"/>
          <w:kern w:val="0"/>
          <w:sz w:val="18"/>
          <w:szCs w:val="22"/>
          <w14:ligatures w14:val="none"/>
        </w:rPr>
        <w:t>450</w:t>
      </w:r>
      <w:r w:rsidR="00D01BF8">
        <w:rPr>
          <w:rFonts w:ascii="Arial" w:eastAsia="Arial" w:hAnsi="Arial" w:cs="Times New Roman (Body CS)"/>
          <w:color w:val="64777E"/>
          <w:kern w:val="0"/>
          <w:sz w:val="18"/>
          <w:szCs w:val="22"/>
          <w14:ligatures w14:val="none"/>
        </w:rPr>
        <w:t xml:space="preserve">mn </w:t>
      </w:r>
    </w:p>
    <w:p w14:paraId="0B869182" w14:textId="77777777" w:rsidR="00D01BF8" w:rsidRDefault="00D01BF8" w:rsidP="00D01BF8">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4488D988" w14:textId="24E8F9C1" w:rsidR="00D01BF8" w:rsidRPr="00B37E61" w:rsidRDefault="00CD534B" w:rsidP="00D01BF8">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Large cap equity focus, thus there is plenty of capacity remaining allowing headroom for growth. Business has been growing with Australian Eagle taking on the Montgomery Long only FUM.</w:t>
      </w:r>
      <w:r w:rsidR="00D01BF8" w:rsidRPr="00B37E61">
        <w:rPr>
          <w:rFonts w:ascii="Arial" w:eastAsia="Arial" w:hAnsi="Arial" w:cs="Times New Roman (Body CS)"/>
          <w:color w:val="64777E"/>
          <w:kern w:val="0"/>
          <w:sz w:val="18"/>
          <w:szCs w:val="22"/>
          <w14:ligatures w14:val="none"/>
        </w:rPr>
        <w:br w:type="page"/>
      </w:r>
    </w:p>
    <w:p w14:paraId="510DFDD0" w14:textId="77777777" w:rsidR="00D01BF8" w:rsidRDefault="00D01BF8" w:rsidP="00D01BF8">
      <w:pPr>
        <w:pStyle w:val="BasicParagraph"/>
        <w:spacing w:after="0" w:line="276" w:lineRule="auto"/>
        <w:rPr>
          <w:rFonts w:eastAsia="Calibri"/>
          <w:color w:val="76C204"/>
          <w:sz w:val="28"/>
          <w:szCs w:val="28"/>
        </w:rPr>
      </w:pPr>
      <w:r>
        <w:rPr>
          <w:rFonts w:eastAsia="Calibri"/>
          <w:color w:val="76C204"/>
          <w:sz w:val="28"/>
          <w:szCs w:val="28"/>
        </w:rPr>
        <w:lastRenderedPageBreak/>
        <w:t>PRODUCT FEATURES</w:t>
      </w:r>
    </w:p>
    <w:p w14:paraId="3E35103C" w14:textId="2603A232" w:rsidR="00D01BF8" w:rsidRPr="00CD534B" w:rsidRDefault="00CD534B" w:rsidP="00D01BF8">
      <w:pPr>
        <w:pStyle w:val="BasicParagraph"/>
        <w:spacing w:after="0" w:line="276" w:lineRule="auto"/>
        <w:rPr>
          <w:rFonts w:eastAsia="Calibri"/>
          <w:color w:val="76C204"/>
          <w:sz w:val="28"/>
          <w:szCs w:val="28"/>
        </w:rPr>
      </w:pPr>
      <w:r w:rsidRPr="00CD534B">
        <w:rPr>
          <w:rFonts w:eastAsia="Calibri"/>
          <w:noProof/>
          <w:color w:val="76C204"/>
          <w:sz w:val="28"/>
          <w:szCs w:val="28"/>
        </w:rPr>
        <w:drawing>
          <wp:inline distT="0" distB="0" distL="0" distR="0" wp14:anchorId="22746BD1" wp14:editId="5BCB6C39">
            <wp:extent cx="3191320" cy="2410161"/>
            <wp:effectExtent l="0" t="0" r="9525" b="9525"/>
            <wp:docPr id="27493264"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3264" name="Picture 1" descr="A table with text and numbers&#10;&#10;Description automatically generated"/>
                    <pic:cNvPicPr/>
                  </pic:nvPicPr>
                  <pic:blipFill>
                    <a:blip r:embed="rId11"/>
                    <a:stretch>
                      <a:fillRect/>
                    </a:stretch>
                  </pic:blipFill>
                  <pic:spPr>
                    <a:xfrm>
                      <a:off x="0" y="0"/>
                      <a:ext cx="3191320" cy="2410161"/>
                    </a:xfrm>
                    <a:prstGeom prst="rect">
                      <a:avLst/>
                    </a:prstGeom>
                  </pic:spPr>
                </pic:pic>
              </a:graphicData>
            </a:graphic>
          </wp:inline>
        </w:drawing>
      </w:r>
    </w:p>
    <w:p w14:paraId="14BCB2F4" w14:textId="45EA0F3B" w:rsidR="00D01BF8" w:rsidRPr="005929C9" w:rsidRDefault="00CD534B" w:rsidP="00D01BF8">
      <w:pPr>
        <w:pStyle w:val="paragraph"/>
        <w:spacing w:before="0" w:beforeAutospacing="0" w:after="0" w:afterAutospacing="0"/>
        <w:textAlignment w:val="baseline"/>
        <w:rPr>
          <w:rStyle w:val="normaltextrun"/>
          <w:rFonts w:ascii="Arial" w:eastAsiaTheme="majorEastAsia" w:hAnsi="Arial" w:cs="Arial"/>
          <w:color w:val="64777E"/>
          <w:sz w:val="18"/>
          <w:szCs w:val="18"/>
          <w:lang w:val="en-US"/>
        </w:rPr>
      </w:pPr>
      <w:r>
        <w:rPr>
          <w:rStyle w:val="normaltextrun"/>
          <w:rFonts w:ascii="Arial" w:eastAsiaTheme="majorEastAsia" w:hAnsi="Arial" w:cs="Arial"/>
          <w:color w:val="64777E"/>
          <w:sz w:val="18"/>
          <w:szCs w:val="18"/>
          <w:lang w:val="en-US"/>
        </w:rPr>
        <w:t>The Fee is considered high in an absolute sense and high on a peer relative basis. A reduction in the performance or management fee would be</w:t>
      </w:r>
      <w:r w:rsidR="00E147B4">
        <w:rPr>
          <w:rStyle w:val="normaltextrun"/>
          <w:rFonts w:ascii="Arial" w:eastAsiaTheme="majorEastAsia" w:hAnsi="Arial" w:cs="Arial"/>
          <w:color w:val="64777E"/>
          <w:sz w:val="18"/>
          <w:szCs w:val="18"/>
          <w:lang w:val="en-US"/>
        </w:rPr>
        <w:t xml:space="preserve"> considered appropriate. </w:t>
      </w:r>
    </w:p>
    <w:p w14:paraId="2629F65C" w14:textId="77777777" w:rsidR="00D01BF8" w:rsidRDefault="00D01BF8" w:rsidP="00D01BF8">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32DCF858" w14:textId="77777777" w:rsidR="00D01BF8" w:rsidRDefault="00D01BF8" w:rsidP="00D01BF8">
      <w:pPr>
        <w:pBdr>
          <w:top w:val="nil"/>
          <w:left w:val="nil"/>
          <w:bottom w:val="nil"/>
          <w:right w:val="nil"/>
          <w:between w:val="nil"/>
        </w:pBdr>
        <w:spacing w:after="0"/>
        <w:rPr>
          <w:rFonts w:eastAsia="Calibri"/>
          <w:color w:val="76C204"/>
          <w:sz w:val="28"/>
          <w:szCs w:val="28"/>
        </w:rPr>
      </w:pPr>
      <w:r w:rsidRPr="001F74BD">
        <w:rPr>
          <w:rFonts w:eastAsia="Calibri"/>
          <w:color w:val="76C204"/>
          <w:sz w:val="28"/>
          <w:szCs w:val="28"/>
        </w:rPr>
        <w:t>INVEST</w:t>
      </w:r>
      <w:r>
        <w:rPr>
          <w:rFonts w:eastAsia="Calibri"/>
          <w:color w:val="76C204"/>
          <w:sz w:val="28"/>
          <w:szCs w:val="28"/>
        </w:rPr>
        <w:t>I</w:t>
      </w:r>
      <w:r w:rsidRPr="001F74BD">
        <w:rPr>
          <w:rFonts w:eastAsia="Calibri"/>
          <w:color w:val="76C204"/>
          <w:sz w:val="28"/>
          <w:szCs w:val="28"/>
        </w:rPr>
        <w:t>BLE STATUS</w:t>
      </w:r>
    </w:p>
    <w:p w14:paraId="62302866" w14:textId="454F375F" w:rsidR="00D01BF8" w:rsidRPr="0093375D" w:rsidRDefault="00D01BF8" w:rsidP="00D01BF8">
      <w:pPr>
        <w:autoSpaceDE w:val="0"/>
        <w:autoSpaceDN w:val="0"/>
        <w:adjustRightInd w:val="0"/>
        <w:spacing w:after="0"/>
        <w:rPr>
          <w:rStyle w:val="normaltextrun"/>
          <w:rFonts w:ascii="Arial" w:eastAsiaTheme="majorEastAsia" w:hAnsi="Arial" w:cs="Arial"/>
          <w:color w:val="64777E"/>
          <w:kern w:val="0"/>
          <w:sz w:val="18"/>
          <w:szCs w:val="18"/>
          <w:lang w:val="en-US" w:eastAsia="en-AU"/>
          <w14:ligatures w14:val="none"/>
        </w:rPr>
      </w:pPr>
      <w:r w:rsidRPr="0093375D">
        <w:rPr>
          <w:rStyle w:val="normaltextrun"/>
          <w:rFonts w:ascii="Arial" w:eastAsiaTheme="majorEastAsia" w:hAnsi="Arial" w:cs="Arial"/>
          <w:color w:val="64777E"/>
          <w:kern w:val="0"/>
          <w:sz w:val="18"/>
          <w:szCs w:val="18"/>
          <w:lang w:val="en-US" w:eastAsia="en-AU"/>
          <w14:ligatures w14:val="none"/>
        </w:rPr>
        <w:t>The Fund is open to wholesale and retail investors</w:t>
      </w:r>
      <w:r w:rsidR="00B3325E">
        <w:rPr>
          <w:rStyle w:val="normaltextrun"/>
          <w:rFonts w:ascii="Arial" w:eastAsiaTheme="majorEastAsia" w:hAnsi="Arial" w:cs="Arial"/>
          <w:color w:val="64777E"/>
          <w:kern w:val="0"/>
          <w:sz w:val="18"/>
          <w:szCs w:val="18"/>
          <w:lang w:val="en-US" w:eastAsia="en-AU"/>
          <w14:ligatures w14:val="none"/>
        </w:rPr>
        <w:t>, with a minimum investment of $25,000 and is</w:t>
      </w:r>
      <w:r w:rsidR="00E147B4">
        <w:rPr>
          <w:rStyle w:val="normaltextrun"/>
          <w:rFonts w:ascii="Arial" w:eastAsiaTheme="majorEastAsia" w:hAnsi="Arial" w:cs="Arial"/>
          <w:color w:val="64777E"/>
          <w:kern w:val="0"/>
          <w:sz w:val="18"/>
          <w:szCs w:val="18"/>
          <w:lang w:val="en-US" w:eastAsia="en-AU"/>
          <w14:ligatures w14:val="none"/>
        </w:rPr>
        <w:t xml:space="preserve"> available</w:t>
      </w:r>
      <w:r w:rsidRPr="0093375D">
        <w:rPr>
          <w:rStyle w:val="normaltextrun"/>
          <w:rFonts w:ascii="Arial" w:eastAsiaTheme="majorEastAsia" w:hAnsi="Arial" w:cs="Arial"/>
          <w:color w:val="64777E"/>
          <w:kern w:val="0"/>
          <w:sz w:val="18"/>
          <w:szCs w:val="18"/>
          <w:lang w:val="en-US" w:eastAsia="en-AU"/>
          <w14:ligatures w14:val="none"/>
        </w:rPr>
        <w:t xml:space="preserve"> on platforms</w:t>
      </w:r>
      <w:r w:rsidR="00B3325E">
        <w:rPr>
          <w:rStyle w:val="normaltextrun"/>
          <w:rFonts w:ascii="Arial" w:eastAsiaTheme="majorEastAsia" w:hAnsi="Arial" w:cs="Arial"/>
          <w:color w:val="64777E"/>
          <w:kern w:val="0"/>
          <w:sz w:val="18"/>
          <w:szCs w:val="18"/>
          <w:lang w:val="en-US" w:eastAsia="en-AU"/>
          <w14:ligatures w14:val="none"/>
        </w:rPr>
        <w:t>.</w:t>
      </w:r>
    </w:p>
    <w:p w14:paraId="6C8AC87D" w14:textId="77777777" w:rsidR="00D01BF8" w:rsidRDefault="00D01BF8" w:rsidP="00D01BF8">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233A51C8" w14:textId="77777777" w:rsidR="00D01BF8" w:rsidRDefault="00D01BF8" w:rsidP="00D01BF8">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BUSINESS</w:t>
      </w:r>
    </w:p>
    <w:p w14:paraId="77E71A08" w14:textId="77777777" w:rsidR="00D01BF8" w:rsidRDefault="00D01BF8" w:rsidP="00D01BF8">
      <w:pPr>
        <w:pStyle w:val="paragraph"/>
        <w:spacing w:before="0" w:beforeAutospacing="0" w:after="0" w:afterAutospacing="0"/>
        <w:textAlignment w:val="baseline"/>
        <w:rPr>
          <w:rFonts w:ascii="Arial" w:hAnsi="Arial" w:cs="Arial"/>
          <w:color w:val="4A585E"/>
          <w:sz w:val="18"/>
          <w:szCs w:val="18"/>
        </w:rPr>
      </w:pPr>
    </w:p>
    <w:p w14:paraId="4362D23B" w14:textId="3961C775" w:rsidR="005048A5" w:rsidRPr="00DD512E" w:rsidRDefault="00B3325E" w:rsidP="00D01BF8">
      <w:pPr>
        <w:pStyle w:val="paragraph"/>
        <w:spacing w:before="0" w:beforeAutospacing="0" w:after="0" w:afterAutospacing="0"/>
        <w:textAlignment w:val="baseline"/>
        <w:rPr>
          <w:rStyle w:val="eop"/>
          <w:rFonts w:ascii="Arial" w:eastAsiaTheme="majorEastAsia" w:hAnsi="Arial" w:cs="Arial"/>
          <w:color w:val="64777E"/>
          <w:sz w:val="18"/>
          <w:szCs w:val="18"/>
        </w:rPr>
      </w:pPr>
      <w:r w:rsidRPr="00DD512E">
        <w:rPr>
          <w:rStyle w:val="eop"/>
          <w:rFonts w:ascii="Arial" w:eastAsiaTheme="majorEastAsia" w:hAnsi="Arial" w:cs="Arial"/>
          <w:color w:val="64777E"/>
          <w:sz w:val="18"/>
          <w:szCs w:val="18"/>
        </w:rPr>
        <w:t xml:space="preserve">Australian Eagle was established in Sydney in 2004 and specialises in Australian equities. The firm is owned and operated by the team and manages in excess of $1.1bn through a domestic long only strategy and the Australian Eagle Long short Fund. In 2022 Australian Eagle partnered with Montgomery and took on the FUM from their Large cap long only strategy. Montgomery provides distribution and </w:t>
      </w:r>
      <w:r w:rsidR="00EA57CB" w:rsidRPr="00DD512E">
        <w:rPr>
          <w:rStyle w:val="eop"/>
          <w:rFonts w:ascii="Arial" w:eastAsiaTheme="majorEastAsia" w:hAnsi="Arial" w:cs="Arial"/>
          <w:color w:val="64777E"/>
          <w:sz w:val="18"/>
          <w:szCs w:val="18"/>
        </w:rPr>
        <w:t>back-office</w:t>
      </w:r>
      <w:r w:rsidRPr="00DD512E">
        <w:rPr>
          <w:rStyle w:val="eop"/>
          <w:rFonts w:ascii="Arial" w:eastAsiaTheme="majorEastAsia" w:hAnsi="Arial" w:cs="Arial"/>
          <w:color w:val="64777E"/>
          <w:sz w:val="18"/>
          <w:szCs w:val="18"/>
        </w:rPr>
        <w:t xml:space="preserve"> support in exchange. A potential concern is the distribution focus of Montgomery</w:t>
      </w:r>
      <w:r w:rsidR="00C95F62">
        <w:rPr>
          <w:rStyle w:val="eop"/>
          <w:rFonts w:ascii="Arial" w:eastAsiaTheme="majorEastAsia" w:hAnsi="Arial" w:cs="Arial"/>
          <w:color w:val="64777E"/>
          <w:sz w:val="18"/>
          <w:szCs w:val="18"/>
        </w:rPr>
        <w:t>,</w:t>
      </w:r>
      <w:r w:rsidRPr="00DD512E">
        <w:rPr>
          <w:rStyle w:val="eop"/>
          <w:rFonts w:ascii="Arial" w:eastAsiaTheme="majorEastAsia" w:hAnsi="Arial" w:cs="Arial"/>
          <w:color w:val="64777E"/>
          <w:sz w:val="18"/>
          <w:szCs w:val="18"/>
        </w:rPr>
        <w:t xml:space="preserve"> </w:t>
      </w:r>
      <w:r w:rsidR="00515BB1">
        <w:rPr>
          <w:rStyle w:val="eop"/>
          <w:rFonts w:ascii="Arial" w:eastAsiaTheme="majorEastAsia" w:hAnsi="Arial" w:cs="Arial"/>
          <w:color w:val="64777E"/>
          <w:sz w:val="18"/>
          <w:szCs w:val="18"/>
        </w:rPr>
        <w:t>g</w:t>
      </w:r>
      <w:r w:rsidRPr="00DD512E">
        <w:rPr>
          <w:rStyle w:val="eop"/>
          <w:rFonts w:ascii="Arial" w:eastAsiaTheme="majorEastAsia" w:hAnsi="Arial" w:cs="Arial"/>
          <w:color w:val="64777E"/>
          <w:sz w:val="18"/>
          <w:szCs w:val="18"/>
        </w:rPr>
        <w:t xml:space="preserve">iven their </w:t>
      </w:r>
      <w:r w:rsidR="00EA57CB">
        <w:rPr>
          <w:rStyle w:val="eop"/>
          <w:rFonts w:ascii="Arial" w:eastAsiaTheme="majorEastAsia" w:hAnsi="Arial" w:cs="Arial"/>
          <w:color w:val="64777E"/>
          <w:sz w:val="18"/>
          <w:szCs w:val="18"/>
        </w:rPr>
        <w:t xml:space="preserve">existing </w:t>
      </w:r>
      <w:r w:rsidRPr="00DD512E">
        <w:rPr>
          <w:rStyle w:val="eop"/>
          <w:rFonts w:ascii="Arial" w:eastAsiaTheme="majorEastAsia" w:hAnsi="Arial" w:cs="Arial"/>
          <w:color w:val="64777E"/>
          <w:sz w:val="18"/>
          <w:szCs w:val="18"/>
        </w:rPr>
        <w:t>FUM has shifted into the Australian Eagle Long Only strategy</w:t>
      </w:r>
      <w:r w:rsidR="00C95F62">
        <w:rPr>
          <w:rStyle w:val="eop"/>
          <w:rFonts w:ascii="Arial" w:eastAsiaTheme="majorEastAsia" w:hAnsi="Arial" w:cs="Arial"/>
          <w:color w:val="64777E"/>
          <w:sz w:val="18"/>
          <w:szCs w:val="18"/>
        </w:rPr>
        <w:t>.</w:t>
      </w:r>
      <w:r w:rsidRPr="00DD512E">
        <w:rPr>
          <w:rStyle w:val="eop"/>
          <w:rFonts w:ascii="Arial" w:eastAsiaTheme="majorEastAsia" w:hAnsi="Arial" w:cs="Arial"/>
          <w:color w:val="64777E"/>
          <w:sz w:val="18"/>
          <w:szCs w:val="18"/>
        </w:rPr>
        <w:t xml:space="preserve"> </w:t>
      </w:r>
      <w:r w:rsidR="00C95F62">
        <w:rPr>
          <w:rStyle w:val="eop"/>
          <w:rFonts w:ascii="Arial" w:eastAsiaTheme="majorEastAsia" w:hAnsi="Arial" w:cs="Arial"/>
          <w:color w:val="64777E"/>
          <w:sz w:val="18"/>
          <w:szCs w:val="18"/>
        </w:rPr>
        <w:t>T</w:t>
      </w:r>
      <w:r w:rsidRPr="00DD512E">
        <w:rPr>
          <w:rStyle w:val="eop"/>
          <w:rFonts w:ascii="Arial" w:eastAsiaTheme="majorEastAsia" w:hAnsi="Arial" w:cs="Arial"/>
          <w:color w:val="64777E"/>
          <w:sz w:val="18"/>
          <w:szCs w:val="18"/>
        </w:rPr>
        <w:t xml:space="preserve">heir focus may be on distributing that fund over the long-short. However, the Australian Eagle Long Short Fund is the only Long Short manager in Montgomery’s suite and thus tempers </w:t>
      </w:r>
      <w:r w:rsidR="00C95F62" w:rsidRPr="00DD512E">
        <w:rPr>
          <w:rStyle w:val="eop"/>
          <w:rFonts w:ascii="Arial" w:eastAsiaTheme="majorEastAsia" w:hAnsi="Arial" w:cs="Arial"/>
          <w:color w:val="64777E"/>
          <w:sz w:val="18"/>
          <w:szCs w:val="18"/>
        </w:rPr>
        <w:t>concern</w:t>
      </w:r>
      <w:r w:rsidRPr="00DD512E">
        <w:rPr>
          <w:rStyle w:val="eop"/>
          <w:rFonts w:ascii="Arial" w:eastAsiaTheme="majorEastAsia" w:hAnsi="Arial" w:cs="Arial"/>
          <w:color w:val="64777E"/>
          <w:sz w:val="18"/>
          <w:szCs w:val="18"/>
        </w:rPr>
        <w:t xml:space="preserve"> to a degree. </w:t>
      </w:r>
      <w:r w:rsidR="001E678D" w:rsidRPr="00DD512E">
        <w:rPr>
          <w:rStyle w:val="eop"/>
          <w:rFonts w:ascii="Arial" w:eastAsiaTheme="majorEastAsia" w:hAnsi="Arial" w:cs="Arial"/>
          <w:color w:val="64777E"/>
          <w:sz w:val="18"/>
          <w:szCs w:val="18"/>
        </w:rPr>
        <w:t xml:space="preserve">The distribution focus will be a watchpoint going forward. </w:t>
      </w:r>
    </w:p>
    <w:p w14:paraId="093363DC" w14:textId="77777777" w:rsidR="001E678D" w:rsidRPr="00A23C45" w:rsidRDefault="001E678D" w:rsidP="00D01BF8">
      <w:pPr>
        <w:pStyle w:val="paragraph"/>
        <w:spacing w:before="0" w:beforeAutospacing="0" w:after="0" w:afterAutospacing="0"/>
        <w:textAlignment w:val="baseline"/>
        <w:rPr>
          <w:rFonts w:eastAsiaTheme="majorEastAsia"/>
          <w:color w:val="64777E"/>
          <w:lang w:val="en-US"/>
        </w:rPr>
      </w:pPr>
    </w:p>
    <w:p w14:paraId="336C3A7C" w14:textId="77777777" w:rsidR="00D01BF8" w:rsidRDefault="00D01BF8" w:rsidP="00D01BF8">
      <w:pPr>
        <w:pStyle w:val="paragraph"/>
        <w:spacing w:before="0" w:beforeAutospacing="0" w:after="0" w:afterAutospacing="0"/>
        <w:textAlignment w:val="baseline"/>
        <w:rPr>
          <w:rStyle w:val="eop"/>
          <w:rFonts w:ascii="Arial" w:eastAsiaTheme="majorEastAsia" w:hAnsi="Arial" w:cs="Arial"/>
          <w:color w:val="76C204"/>
          <w:sz w:val="28"/>
          <w:szCs w:val="28"/>
        </w:rPr>
      </w:pPr>
      <w:r>
        <w:rPr>
          <w:rStyle w:val="normaltextrun"/>
          <w:rFonts w:ascii="Arial" w:eastAsiaTheme="majorEastAsia" w:hAnsi="Arial" w:cs="Arial"/>
          <w:color w:val="76C204"/>
          <w:sz w:val="28"/>
          <w:szCs w:val="28"/>
        </w:rPr>
        <w:t>INVESTMENT TEAM</w:t>
      </w:r>
      <w:r>
        <w:rPr>
          <w:rStyle w:val="eop"/>
          <w:rFonts w:ascii="Arial" w:eastAsiaTheme="majorEastAsia" w:hAnsi="Arial" w:cs="Arial"/>
          <w:color w:val="76C204"/>
          <w:sz w:val="28"/>
          <w:szCs w:val="28"/>
        </w:rPr>
        <w:t> </w:t>
      </w:r>
    </w:p>
    <w:p w14:paraId="5A0C82D5" w14:textId="77777777" w:rsidR="00D01BF8" w:rsidRDefault="00D01BF8" w:rsidP="00D01BF8">
      <w:pPr>
        <w:pStyle w:val="paragraph"/>
        <w:spacing w:before="0" w:beforeAutospacing="0" w:after="0" w:afterAutospacing="0"/>
        <w:textAlignment w:val="baseline"/>
        <w:rPr>
          <w:rFonts w:ascii="Segoe UI" w:hAnsi="Segoe UI" w:cs="Segoe UI"/>
          <w:color w:val="4A585E"/>
          <w:sz w:val="18"/>
          <w:szCs w:val="18"/>
        </w:rPr>
      </w:pPr>
    </w:p>
    <w:p w14:paraId="3CC53558" w14:textId="3BD5EEB9" w:rsidR="005048A5" w:rsidRDefault="00E147B4" w:rsidP="00D01BF8">
      <w:pPr>
        <w:pStyle w:val="paragraph"/>
        <w:spacing w:before="0" w:beforeAutospacing="0" w:after="0" w:afterAutospacing="0"/>
        <w:textAlignment w:val="baseline"/>
        <w:rPr>
          <w:rStyle w:val="eop"/>
          <w:rFonts w:ascii="Arial" w:eastAsiaTheme="majorEastAsia" w:hAnsi="Arial" w:cs="Arial"/>
          <w:color w:val="64777E"/>
          <w:sz w:val="18"/>
          <w:szCs w:val="18"/>
        </w:rPr>
      </w:pPr>
      <w:r>
        <w:rPr>
          <w:rStyle w:val="eop"/>
          <w:rFonts w:ascii="Arial" w:eastAsiaTheme="majorEastAsia" w:hAnsi="Arial" w:cs="Arial"/>
          <w:color w:val="64777E"/>
          <w:sz w:val="18"/>
          <w:szCs w:val="18"/>
        </w:rPr>
        <w:t>The team is lead by CIO, Sean Sequeira, who has been at Australian Eagle since 2004. Sequeria is assessed as being experience</w:t>
      </w:r>
      <w:r w:rsidR="005048A5">
        <w:rPr>
          <w:rStyle w:val="eop"/>
          <w:rFonts w:ascii="Arial" w:eastAsiaTheme="majorEastAsia" w:hAnsi="Arial" w:cs="Arial"/>
          <w:color w:val="64777E"/>
          <w:sz w:val="18"/>
          <w:szCs w:val="18"/>
        </w:rPr>
        <w:t>d</w:t>
      </w:r>
      <w:r>
        <w:rPr>
          <w:rStyle w:val="eop"/>
          <w:rFonts w:ascii="Arial" w:eastAsiaTheme="majorEastAsia" w:hAnsi="Arial" w:cs="Arial"/>
          <w:color w:val="64777E"/>
          <w:sz w:val="18"/>
          <w:szCs w:val="18"/>
        </w:rPr>
        <w:t xml:space="preserve"> and a highly capable leader of the investment team. Alan Kwan is the named portfolio manager on the Fund, however, Sequeria has ultimate </w:t>
      </w:r>
      <w:r w:rsidR="005048A5">
        <w:rPr>
          <w:rStyle w:val="eop"/>
          <w:rFonts w:ascii="Arial" w:eastAsiaTheme="majorEastAsia" w:hAnsi="Arial" w:cs="Arial"/>
          <w:color w:val="64777E"/>
          <w:sz w:val="18"/>
          <w:szCs w:val="18"/>
        </w:rPr>
        <w:t>decision-making</w:t>
      </w:r>
      <w:r>
        <w:rPr>
          <w:rStyle w:val="eop"/>
          <w:rFonts w:ascii="Arial" w:eastAsiaTheme="majorEastAsia" w:hAnsi="Arial" w:cs="Arial"/>
          <w:color w:val="64777E"/>
          <w:sz w:val="18"/>
          <w:szCs w:val="18"/>
        </w:rPr>
        <w:t xml:space="preserve"> authority</w:t>
      </w:r>
      <w:r w:rsidR="005048A5">
        <w:rPr>
          <w:rStyle w:val="eop"/>
          <w:rFonts w:ascii="Arial" w:eastAsiaTheme="majorEastAsia" w:hAnsi="Arial" w:cs="Arial"/>
          <w:color w:val="64777E"/>
          <w:sz w:val="18"/>
          <w:szCs w:val="18"/>
        </w:rPr>
        <w:t xml:space="preserve">, </w:t>
      </w:r>
      <w:r>
        <w:rPr>
          <w:rStyle w:val="eop"/>
          <w:rFonts w:ascii="Arial" w:eastAsiaTheme="majorEastAsia" w:hAnsi="Arial" w:cs="Arial"/>
          <w:color w:val="64777E"/>
          <w:sz w:val="18"/>
          <w:szCs w:val="18"/>
        </w:rPr>
        <w:t xml:space="preserve">veto </w:t>
      </w:r>
      <w:r w:rsidR="005048A5">
        <w:rPr>
          <w:rStyle w:val="eop"/>
          <w:rFonts w:ascii="Arial" w:eastAsiaTheme="majorEastAsia" w:hAnsi="Arial" w:cs="Arial"/>
          <w:color w:val="64777E"/>
          <w:sz w:val="18"/>
          <w:szCs w:val="18"/>
        </w:rPr>
        <w:t>rights and the key figure head. Providing support are two additional analysts as well as an investment committee that includes a risk manager and Albert Hung</w:t>
      </w:r>
      <w:r w:rsidR="001E3148">
        <w:rPr>
          <w:rStyle w:val="eop"/>
          <w:rFonts w:ascii="Arial" w:eastAsiaTheme="majorEastAsia" w:hAnsi="Arial" w:cs="Arial"/>
          <w:color w:val="64777E"/>
          <w:sz w:val="18"/>
          <w:szCs w:val="18"/>
        </w:rPr>
        <w:t>.</w:t>
      </w:r>
      <w:r w:rsidR="005048A5">
        <w:rPr>
          <w:rStyle w:val="eop"/>
          <w:rFonts w:ascii="Arial" w:eastAsiaTheme="majorEastAsia" w:hAnsi="Arial" w:cs="Arial"/>
          <w:color w:val="64777E"/>
          <w:sz w:val="18"/>
          <w:szCs w:val="18"/>
        </w:rPr>
        <w:t xml:space="preserve"> </w:t>
      </w:r>
      <w:r w:rsidR="001E3148">
        <w:rPr>
          <w:rStyle w:val="eop"/>
          <w:rFonts w:ascii="Arial" w:eastAsiaTheme="majorEastAsia" w:hAnsi="Arial" w:cs="Arial"/>
          <w:color w:val="64777E"/>
          <w:sz w:val="18"/>
          <w:szCs w:val="18"/>
        </w:rPr>
        <w:t>Hung</w:t>
      </w:r>
      <w:r w:rsidR="005048A5">
        <w:rPr>
          <w:rStyle w:val="eop"/>
          <w:rFonts w:ascii="Arial" w:eastAsiaTheme="majorEastAsia" w:hAnsi="Arial" w:cs="Arial"/>
          <w:color w:val="64777E"/>
          <w:sz w:val="18"/>
          <w:szCs w:val="18"/>
        </w:rPr>
        <w:t xml:space="preserve"> was the architect of the strategy when it was being first built out. The manager has indicated that Hung is stepping back his involvement and acting more as a mentor. </w:t>
      </w:r>
    </w:p>
    <w:p w14:paraId="276261BD" w14:textId="77777777" w:rsidR="005048A5" w:rsidRDefault="005048A5" w:rsidP="00D01BF8">
      <w:pPr>
        <w:pStyle w:val="paragraph"/>
        <w:spacing w:before="0" w:beforeAutospacing="0" w:after="0" w:afterAutospacing="0"/>
        <w:textAlignment w:val="baseline"/>
        <w:rPr>
          <w:rStyle w:val="eop"/>
          <w:rFonts w:ascii="Arial" w:eastAsiaTheme="majorEastAsia" w:hAnsi="Arial" w:cs="Arial"/>
          <w:color w:val="64777E"/>
          <w:sz w:val="18"/>
          <w:szCs w:val="18"/>
        </w:rPr>
      </w:pPr>
    </w:p>
    <w:p w14:paraId="7FE15001" w14:textId="3BB31A3D" w:rsidR="005048A5" w:rsidRDefault="005048A5" w:rsidP="00D01BF8">
      <w:pPr>
        <w:pStyle w:val="paragraph"/>
        <w:spacing w:before="0" w:beforeAutospacing="0" w:after="0" w:afterAutospacing="0"/>
        <w:textAlignment w:val="baseline"/>
        <w:rPr>
          <w:rStyle w:val="eop"/>
          <w:rFonts w:ascii="Arial" w:eastAsiaTheme="majorEastAsia" w:hAnsi="Arial" w:cs="Arial"/>
          <w:color w:val="64777E"/>
          <w:sz w:val="18"/>
          <w:szCs w:val="18"/>
        </w:rPr>
      </w:pPr>
      <w:r>
        <w:rPr>
          <w:rStyle w:val="eop"/>
          <w:rFonts w:ascii="Arial" w:eastAsiaTheme="majorEastAsia" w:hAnsi="Arial" w:cs="Arial"/>
          <w:color w:val="64777E"/>
          <w:sz w:val="18"/>
          <w:szCs w:val="18"/>
        </w:rPr>
        <w:t xml:space="preserve">The team is considered to be adequately resourced given the narrowness of the investment universe and the length of time they have been working together. On a peer relative basis track-record and co-tenure is high.  </w:t>
      </w:r>
    </w:p>
    <w:p w14:paraId="53FB7CCC" w14:textId="77777777" w:rsidR="00E147B4" w:rsidRDefault="00E147B4" w:rsidP="00D01BF8">
      <w:pPr>
        <w:pStyle w:val="paragraph"/>
        <w:spacing w:before="0" w:beforeAutospacing="0" w:after="0" w:afterAutospacing="0"/>
        <w:textAlignment w:val="baseline"/>
        <w:rPr>
          <w:rStyle w:val="eop"/>
          <w:rFonts w:ascii="Arial" w:eastAsiaTheme="majorEastAsia" w:hAnsi="Arial" w:cs="Arial"/>
          <w:color w:val="64777E"/>
          <w:sz w:val="18"/>
          <w:szCs w:val="18"/>
        </w:rPr>
      </w:pPr>
    </w:p>
    <w:p w14:paraId="0142C6BB" w14:textId="77777777" w:rsidR="00D01BF8" w:rsidRDefault="00D01BF8" w:rsidP="00D01BF8">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76C204"/>
          <w:sz w:val="22"/>
          <w:szCs w:val="22"/>
        </w:rPr>
      </w:pPr>
      <w:r>
        <w:rPr>
          <w:rStyle w:val="normaltextrun"/>
          <w:rFonts w:ascii="Arial" w:eastAsiaTheme="majorEastAsia" w:hAnsi="Arial" w:cs="Arial"/>
          <w:color w:val="76C204"/>
          <w:sz w:val="22"/>
          <w:szCs w:val="22"/>
        </w:rPr>
        <w:t xml:space="preserve">Remuneration and Incentives </w:t>
      </w:r>
    </w:p>
    <w:p w14:paraId="685EE34B" w14:textId="141B8DF9" w:rsidR="00301453" w:rsidRDefault="00301453" w:rsidP="00301453">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 xml:space="preserve">Pleasing both Sean and Alan are equity holders in the business and have a profit share arrangement. In addition to this they are both significantly co-invested in the Fund. Whilst there is no direct performance bonus based on the outperformance of the Fund, the equity structure and co-investment is seen as sufficient and the co-PMs are considered to be adequately aligned with investors. </w:t>
      </w:r>
    </w:p>
    <w:p w14:paraId="35FF9CA1" w14:textId="77777777" w:rsidR="005048A5" w:rsidRDefault="005048A5" w:rsidP="00D01BF8">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6201BD77" w14:textId="77777777" w:rsidR="00D01BF8" w:rsidRDefault="00D01BF8" w:rsidP="00D01BF8">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76C204"/>
          <w:sz w:val="22"/>
          <w:szCs w:val="22"/>
        </w:rPr>
        <w:t>Key Person Risk</w:t>
      </w:r>
    </w:p>
    <w:p w14:paraId="3FFDC6AA" w14:textId="6EF72697" w:rsidR="00301453" w:rsidRDefault="00301453" w:rsidP="00301453">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r w:rsidRPr="00FB3C6A">
        <w:rPr>
          <w:rStyle w:val="normaltextrun"/>
          <w:rFonts w:ascii="Arial" w:eastAsiaTheme="majorEastAsia" w:hAnsi="Arial" w:cs="Arial"/>
          <w:color w:val="64777E"/>
          <w:sz w:val="18"/>
          <w:szCs w:val="18"/>
        </w:rPr>
        <w:t xml:space="preserve">A departure of </w:t>
      </w:r>
      <w:r>
        <w:rPr>
          <w:rStyle w:val="normaltextrun"/>
          <w:rFonts w:ascii="Arial" w:eastAsiaTheme="majorEastAsia" w:hAnsi="Arial" w:cs="Arial"/>
          <w:color w:val="64777E"/>
          <w:sz w:val="18"/>
          <w:szCs w:val="18"/>
        </w:rPr>
        <w:t>Sequeira</w:t>
      </w:r>
      <w:r w:rsidRPr="00FB3C6A">
        <w:rPr>
          <w:rStyle w:val="normaltextrun"/>
          <w:rFonts w:ascii="Arial" w:eastAsiaTheme="majorEastAsia" w:hAnsi="Arial" w:cs="Arial"/>
          <w:color w:val="64777E"/>
          <w:sz w:val="18"/>
          <w:szCs w:val="18"/>
        </w:rPr>
        <w:t xml:space="preserve"> would be a considerable loss for the Fund and would trigger a re-assessment of the investment case. </w:t>
      </w:r>
    </w:p>
    <w:p w14:paraId="47765E44" w14:textId="77777777" w:rsidR="00D01BF8" w:rsidRDefault="00D01BF8" w:rsidP="00D01BF8">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p>
    <w:p w14:paraId="527A6414" w14:textId="77777777" w:rsidR="00C71C55" w:rsidRDefault="00C71C55" w:rsidP="00D01BF8">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p>
    <w:p w14:paraId="230B1EB6" w14:textId="77777777" w:rsidR="00D01BF8" w:rsidRDefault="00D01BF8" w:rsidP="00D01BF8">
      <w:pPr>
        <w:pStyle w:val="paragraph"/>
        <w:shd w:val="clear" w:color="auto" w:fill="FFFFFF"/>
        <w:spacing w:before="0" w:beforeAutospacing="0" w:after="0" w:afterAutospacing="0"/>
        <w:jc w:val="both"/>
        <w:textAlignment w:val="baseline"/>
        <w:rPr>
          <w:rStyle w:val="normaltextrun"/>
          <w:rFonts w:eastAsia="Calibri"/>
          <w:color w:val="76C204"/>
          <w:sz w:val="22"/>
          <w:szCs w:val="22"/>
        </w:rPr>
      </w:pPr>
    </w:p>
    <w:p w14:paraId="7CA5F4F2" w14:textId="77777777" w:rsidR="00D01BF8" w:rsidRDefault="00D01BF8" w:rsidP="00D01BF8">
      <w:pPr>
        <w:pBdr>
          <w:top w:val="nil"/>
          <w:left w:val="nil"/>
          <w:bottom w:val="nil"/>
          <w:right w:val="nil"/>
          <w:between w:val="nil"/>
        </w:pBdr>
        <w:spacing w:after="0"/>
        <w:jc w:val="both"/>
        <w:rPr>
          <w:rFonts w:eastAsia="Calibri" w:cs="Times New Roman"/>
          <w:color w:val="76C204"/>
          <w:sz w:val="28"/>
          <w:szCs w:val="28"/>
        </w:rPr>
      </w:pPr>
      <w:r>
        <w:rPr>
          <w:rFonts w:eastAsia="Calibri" w:cs="Times New Roman"/>
          <w:color w:val="76C204"/>
          <w:sz w:val="28"/>
          <w:szCs w:val="28"/>
        </w:rPr>
        <w:t>INVESTMENT PHILOSOPHY AND PROCESS</w:t>
      </w:r>
    </w:p>
    <w:p w14:paraId="05B2D709" w14:textId="77777777" w:rsidR="00D01BF8" w:rsidRDefault="00D01BF8" w:rsidP="00D01BF8">
      <w:pPr>
        <w:pStyle w:val="paragraph"/>
        <w:shd w:val="clear" w:color="auto" w:fill="FFFFFF"/>
        <w:spacing w:before="0" w:beforeAutospacing="0" w:after="0" w:afterAutospacing="0"/>
        <w:jc w:val="both"/>
        <w:textAlignment w:val="baseline"/>
        <w:rPr>
          <w:rStyle w:val="normaltextrun"/>
          <w:rFonts w:eastAsia="Calibri"/>
          <w:color w:val="76C204"/>
          <w:sz w:val="22"/>
          <w:szCs w:val="22"/>
        </w:rPr>
      </w:pPr>
    </w:p>
    <w:p w14:paraId="38F03622" w14:textId="77777777" w:rsidR="00D01BF8" w:rsidRPr="00992645" w:rsidRDefault="00D01BF8" w:rsidP="00D01BF8">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992645">
        <w:rPr>
          <w:rStyle w:val="normaltextrun"/>
          <w:rFonts w:eastAsia="Calibri"/>
          <w:color w:val="76C204"/>
          <w:sz w:val="22"/>
          <w:szCs w:val="22"/>
        </w:rPr>
        <w:t>Investable</w:t>
      </w:r>
      <w:r w:rsidRPr="00992645">
        <w:rPr>
          <w:rFonts w:ascii="Arial" w:eastAsiaTheme="majorEastAsia" w:hAnsi="Arial" w:cs="Arial"/>
          <w:color w:val="64777E"/>
          <w:sz w:val="18"/>
          <w:szCs w:val="18"/>
        </w:rPr>
        <w:t xml:space="preserve"> </w:t>
      </w:r>
      <w:r w:rsidRPr="00992645">
        <w:rPr>
          <w:rStyle w:val="normaltextrun"/>
          <w:rFonts w:eastAsia="Calibri"/>
          <w:color w:val="76C204"/>
          <w:sz w:val="22"/>
          <w:szCs w:val="22"/>
        </w:rPr>
        <w:t>Universe</w:t>
      </w:r>
    </w:p>
    <w:p w14:paraId="7259833A" w14:textId="77777777" w:rsidR="00D01BF8" w:rsidRDefault="00D01BF8" w:rsidP="00D01BF8">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p>
    <w:p w14:paraId="30C8125E" w14:textId="5E228819" w:rsidR="00301453" w:rsidRDefault="00301453" w:rsidP="00D01BF8">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r>
        <w:rPr>
          <w:rFonts w:ascii="Arial" w:eastAsiaTheme="majorEastAsia" w:hAnsi="Arial" w:cs="Arial"/>
          <w:color w:val="64777E"/>
          <w:kern w:val="0"/>
          <w:sz w:val="18"/>
          <w:szCs w:val="18"/>
          <w:lang w:eastAsia="en-AU"/>
          <w14:ligatures w14:val="none"/>
        </w:rPr>
        <w:t xml:space="preserve">The Fund will seek ideas from the ASX100 although has the freedom to go outside and maintains a research list of 130 names. The 130 names include </w:t>
      </w:r>
      <w:r w:rsidR="00CE3568">
        <w:rPr>
          <w:rFonts w:ascii="Arial" w:eastAsiaTheme="majorEastAsia" w:hAnsi="Arial" w:cs="Arial"/>
          <w:color w:val="64777E"/>
          <w:kern w:val="0"/>
          <w:sz w:val="18"/>
          <w:szCs w:val="18"/>
          <w:lang w:eastAsia="en-AU"/>
          <w14:ligatures w14:val="none"/>
        </w:rPr>
        <w:t>all</w:t>
      </w:r>
      <w:r>
        <w:rPr>
          <w:rFonts w:ascii="Arial" w:eastAsiaTheme="majorEastAsia" w:hAnsi="Arial" w:cs="Arial"/>
          <w:color w:val="64777E"/>
          <w:kern w:val="0"/>
          <w:sz w:val="18"/>
          <w:szCs w:val="18"/>
          <w:lang w:eastAsia="en-AU"/>
          <w14:ligatures w14:val="none"/>
        </w:rPr>
        <w:t xml:space="preserve"> the ASX100</w:t>
      </w:r>
      <w:r w:rsidR="00CE3568">
        <w:rPr>
          <w:rFonts w:ascii="Arial" w:eastAsiaTheme="majorEastAsia" w:hAnsi="Arial" w:cs="Arial"/>
          <w:color w:val="64777E"/>
          <w:kern w:val="0"/>
          <w:sz w:val="18"/>
          <w:szCs w:val="18"/>
          <w:lang w:eastAsia="en-AU"/>
          <w14:ligatures w14:val="none"/>
        </w:rPr>
        <w:t>,</w:t>
      </w:r>
      <w:r>
        <w:rPr>
          <w:rFonts w:ascii="Arial" w:eastAsiaTheme="majorEastAsia" w:hAnsi="Arial" w:cs="Arial"/>
          <w:color w:val="64777E"/>
          <w:kern w:val="0"/>
          <w:sz w:val="18"/>
          <w:szCs w:val="18"/>
          <w:lang w:eastAsia="en-AU"/>
          <w14:ligatures w14:val="none"/>
        </w:rPr>
        <w:t xml:space="preserve"> plus 30 names that they see of interest. The Fund is benchmarked against the </w:t>
      </w:r>
      <w:r w:rsidRPr="00301453">
        <w:rPr>
          <w:rFonts w:ascii="Arial" w:eastAsiaTheme="majorEastAsia" w:hAnsi="Arial" w:cs="Arial"/>
          <w:color w:val="64777E"/>
          <w:kern w:val="0"/>
          <w:sz w:val="18"/>
          <w:szCs w:val="18"/>
          <w:lang w:eastAsia="en-AU"/>
          <w14:ligatures w14:val="none"/>
        </w:rPr>
        <w:t>S&amp;P/ASX 100 Accumulation Index</w:t>
      </w:r>
      <w:r>
        <w:rPr>
          <w:rFonts w:ascii="Arial" w:eastAsiaTheme="majorEastAsia" w:hAnsi="Arial" w:cs="Arial"/>
          <w:color w:val="64777E"/>
          <w:kern w:val="0"/>
          <w:sz w:val="18"/>
          <w:szCs w:val="18"/>
          <w:lang w:eastAsia="en-AU"/>
          <w14:ligatures w14:val="none"/>
        </w:rPr>
        <w:t>.</w:t>
      </w:r>
    </w:p>
    <w:p w14:paraId="41946156" w14:textId="77777777" w:rsidR="00D01BF8" w:rsidRPr="00992645" w:rsidRDefault="00D01BF8" w:rsidP="00D01BF8">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p>
    <w:p w14:paraId="7467016C" w14:textId="77777777" w:rsidR="00D01BF8" w:rsidRDefault="00D01BF8" w:rsidP="00D01BF8">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B024A7">
        <w:rPr>
          <w:rStyle w:val="normaltextrun"/>
          <w:rFonts w:eastAsia="Calibri"/>
          <w:color w:val="76C204"/>
          <w:sz w:val="22"/>
          <w:szCs w:val="22"/>
        </w:rPr>
        <w:t>Philosophy</w:t>
      </w:r>
    </w:p>
    <w:p w14:paraId="2EAE7CA1" w14:textId="77777777" w:rsidR="00D01BF8" w:rsidRDefault="00D01BF8" w:rsidP="00D01BF8">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6E1639E1" w14:textId="41312DC6" w:rsidR="00D01BF8" w:rsidRPr="00301453" w:rsidRDefault="00301453" w:rsidP="00301453">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r w:rsidRPr="00301453">
        <w:rPr>
          <w:rFonts w:ascii="Arial" w:eastAsiaTheme="majorEastAsia" w:hAnsi="Arial" w:cs="Arial"/>
          <w:color w:val="64777E"/>
          <w:kern w:val="0"/>
          <w:sz w:val="18"/>
          <w:szCs w:val="18"/>
          <w:lang w:eastAsia="en-AU"/>
          <w14:ligatures w14:val="none"/>
        </w:rPr>
        <w:t>The manager seeks to buy quality companies with</w:t>
      </w:r>
      <w:r w:rsidR="00AE09CC">
        <w:rPr>
          <w:rFonts w:ascii="Arial" w:eastAsiaTheme="majorEastAsia" w:hAnsi="Arial" w:cs="Arial"/>
          <w:color w:val="64777E"/>
          <w:kern w:val="0"/>
          <w:sz w:val="18"/>
          <w:szCs w:val="18"/>
          <w:lang w:eastAsia="en-AU"/>
          <w14:ligatures w14:val="none"/>
        </w:rPr>
        <w:t xml:space="preserve"> long term competitive advantages and</w:t>
      </w:r>
      <w:r w:rsidRPr="00301453">
        <w:rPr>
          <w:rFonts w:ascii="Arial" w:eastAsiaTheme="majorEastAsia" w:hAnsi="Arial" w:cs="Arial"/>
          <w:color w:val="64777E"/>
          <w:kern w:val="0"/>
          <w:sz w:val="18"/>
          <w:szCs w:val="18"/>
          <w:lang w:eastAsia="en-AU"/>
          <w14:ligatures w14:val="none"/>
        </w:rPr>
        <w:t xml:space="preserve"> a sensible risk buffer</w:t>
      </w:r>
      <w:r w:rsidR="00AE09CC">
        <w:rPr>
          <w:rFonts w:ascii="Arial" w:eastAsiaTheme="majorEastAsia" w:hAnsi="Arial" w:cs="Arial"/>
          <w:color w:val="64777E"/>
          <w:kern w:val="0"/>
          <w:sz w:val="18"/>
          <w:szCs w:val="18"/>
          <w:lang w:eastAsia="en-AU"/>
          <w14:ligatures w14:val="none"/>
        </w:rPr>
        <w:t xml:space="preserve">. The manager aims </w:t>
      </w:r>
      <w:r w:rsidR="006B4882">
        <w:rPr>
          <w:rFonts w:ascii="Arial" w:eastAsiaTheme="majorEastAsia" w:hAnsi="Arial" w:cs="Arial"/>
          <w:color w:val="64777E"/>
          <w:kern w:val="0"/>
          <w:sz w:val="18"/>
          <w:szCs w:val="18"/>
          <w:lang w:eastAsia="en-AU"/>
          <w14:ligatures w14:val="none"/>
        </w:rPr>
        <w:t xml:space="preserve">to </w:t>
      </w:r>
      <w:r w:rsidRPr="00301453">
        <w:rPr>
          <w:rFonts w:ascii="Arial" w:eastAsiaTheme="majorEastAsia" w:hAnsi="Arial" w:cs="Arial"/>
          <w:color w:val="64777E"/>
          <w:kern w:val="0"/>
          <w:sz w:val="18"/>
          <w:szCs w:val="18"/>
          <w:lang w:eastAsia="en-AU"/>
          <w14:ligatures w14:val="none"/>
        </w:rPr>
        <w:t>hold those investments until their competitive advantages are materialised and reflected in returns</w:t>
      </w:r>
      <w:r>
        <w:rPr>
          <w:rFonts w:ascii="Arial" w:eastAsiaTheme="majorEastAsia" w:hAnsi="Arial" w:cs="Arial"/>
          <w:color w:val="64777E"/>
          <w:kern w:val="0"/>
          <w:sz w:val="18"/>
          <w:szCs w:val="18"/>
          <w:lang w:eastAsia="en-AU"/>
          <w14:ligatures w14:val="none"/>
        </w:rPr>
        <w:t xml:space="preserve">. </w:t>
      </w:r>
    </w:p>
    <w:p w14:paraId="3BAE3FF2" w14:textId="77777777" w:rsidR="00301453" w:rsidRDefault="00301453" w:rsidP="00D01BF8">
      <w:pPr>
        <w:pStyle w:val="paragraph"/>
        <w:spacing w:before="0" w:beforeAutospacing="0" w:after="0" w:afterAutospacing="0"/>
        <w:textAlignment w:val="baseline"/>
        <w:rPr>
          <w:rStyle w:val="eop"/>
          <w:rFonts w:ascii="Arial" w:eastAsiaTheme="majorEastAsia" w:hAnsi="Arial" w:cs="Arial"/>
          <w:color w:val="76C204"/>
          <w:sz w:val="28"/>
          <w:szCs w:val="28"/>
        </w:rPr>
      </w:pPr>
    </w:p>
    <w:p w14:paraId="65B75F27" w14:textId="77777777" w:rsidR="00D01BF8" w:rsidRDefault="00D01BF8" w:rsidP="00D01BF8">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Style w:val="normaltextrun"/>
          <w:rFonts w:eastAsia="Calibri"/>
          <w:color w:val="76C204"/>
          <w:sz w:val="22"/>
          <w:szCs w:val="22"/>
        </w:rPr>
        <w:t>Idea Generation</w:t>
      </w:r>
    </w:p>
    <w:p w14:paraId="46CA4318" w14:textId="705D9B20" w:rsidR="00D01BF8" w:rsidRPr="00434445" w:rsidRDefault="00434445" w:rsidP="00D01BF8">
      <w:pPr>
        <w:pStyle w:val="paragraph"/>
        <w:spacing w:before="0" w:beforeAutospacing="0" w:after="0" w:afterAutospacing="0"/>
        <w:textAlignment w:val="baseline"/>
        <w:rPr>
          <w:rFonts w:eastAsiaTheme="majorEastAsia"/>
          <w:color w:val="64777E"/>
          <w:sz w:val="18"/>
          <w:szCs w:val="18"/>
        </w:rPr>
      </w:pPr>
      <w:r w:rsidRPr="00434445">
        <w:rPr>
          <w:rFonts w:ascii="Arial" w:eastAsiaTheme="majorEastAsia" w:hAnsi="Arial" w:cs="Arial"/>
          <w:color w:val="64777E"/>
          <w:sz w:val="18"/>
          <w:szCs w:val="18"/>
        </w:rPr>
        <w:t xml:space="preserve">The manager </w:t>
      </w:r>
      <w:r>
        <w:rPr>
          <w:rFonts w:ascii="Arial" w:eastAsiaTheme="majorEastAsia" w:hAnsi="Arial" w:cs="Arial"/>
          <w:color w:val="64777E"/>
          <w:sz w:val="18"/>
          <w:szCs w:val="18"/>
        </w:rPr>
        <w:t xml:space="preserve">believes a focus on quality, valuation and </w:t>
      </w:r>
      <w:r w:rsidRPr="00301453">
        <w:rPr>
          <w:rFonts w:ascii="Arial" w:eastAsiaTheme="majorEastAsia" w:hAnsi="Arial" w:cs="Arial"/>
          <w:color w:val="64777E"/>
          <w:sz w:val="18"/>
          <w:szCs w:val="18"/>
        </w:rPr>
        <w:t>identifying a catalyst to trigger a re-rating upwards</w:t>
      </w:r>
      <w:r>
        <w:rPr>
          <w:rFonts w:ascii="Arial" w:eastAsiaTheme="majorEastAsia" w:hAnsi="Arial" w:cs="Arial"/>
          <w:color w:val="64777E"/>
          <w:sz w:val="18"/>
          <w:szCs w:val="18"/>
        </w:rPr>
        <w:t xml:space="preserve"> </w:t>
      </w:r>
      <w:r w:rsidR="00AE09CC">
        <w:rPr>
          <w:rFonts w:ascii="Arial" w:eastAsiaTheme="majorEastAsia" w:hAnsi="Arial" w:cs="Arial"/>
          <w:color w:val="64777E"/>
          <w:sz w:val="18"/>
          <w:szCs w:val="18"/>
        </w:rPr>
        <w:t>will enhance returns. Idea generation is constrained given the size of the universe</w:t>
      </w:r>
      <w:r w:rsidR="0089726C">
        <w:rPr>
          <w:rFonts w:ascii="Arial" w:eastAsiaTheme="majorEastAsia" w:hAnsi="Arial" w:cs="Arial"/>
          <w:color w:val="64777E"/>
          <w:sz w:val="18"/>
          <w:szCs w:val="18"/>
        </w:rPr>
        <w:t>. T</w:t>
      </w:r>
      <w:r w:rsidR="00AE09CC">
        <w:rPr>
          <w:rFonts w:ascii="Arial" w:eastAsiaTheme="majorEastAsia" w:hAnsi="Arial" w:cs="Arial"/>
          <w:color w:val="64777E"/>
          <w:sz w:val="18"/>
          <w:szCs w:val="18"/>
        </w:rPr>
        <w:t>he</w:t>
      </w:r>
      <w:r w:rsidR="0089726C">
        <w:rPr>
          <w:rFonts w:ascii="Arial" w:eastAsiaTheme="majorEastAsia" w:hAnsi="Arial" w:cs="Arial"/>
          <w:color w:val="64777E"/>
          <w:sz w:val="18"/>
          <w:szCs w:val="18"/>
        </w:rPr>
        <w:t xml:space="preserve"> team</w:t>
      </w:r>
      <w:r w:rsidR="00AE09CC">
        <w:rPr>
          <w:rFonts w:ascii="Arial" w:eastAsiaTheme="majorEastAsia" w:hAnsi="Arial" w:cs="Arial"/>
          <w:color w:val="64777E"/>
          <w:sz w:val="18"/>
          <w:szCs w:val="18"/>
        </w:rPr>
        <w:t xml:space="preserve"> will cover the ASX100 in detail and analysts are free to choose any other stocks to make up the remaining 30. The manager does not believe meeting with company management adds value to the process at this end of the market. </w:t>
      </w:r>
    </w:p>
    <w:p w14:paraId="45EE68E4" w14:textId="77777777" w:rsidR="00D01BF8" w:rsidRDefault="00D01BF8" w:rsidP="00D01BF8">
      <w:pPr>
        <w:pStyle w:val="paragraph"/>
        <w:spacing w:before="0" w:beforeAutospacing="0" w:after="0" w:afterAutospacing="0"/>
        <w:textAlignment w:val="baseline"/>
        <w:rPr>
          <w:rFonts w:ascii="Arial" w:eastAsiaTheme="majorEastAsia" w:hAnsi="Arial" w:cs="Arial"/>
          <w:color w:val="64777E"/>
          <w:sz w:val="18"/>
          <w:szCs w:val="18"/>
        </w:rPr>
      </w:pPr>
    </w:p>
    <w:p w14:paraId="663ABAC2" w14:textId="77777777" w:rsidR="00D01BF8" w:rsidRDefault="00D01BF8" w:rsidP="00D01BF8">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Style w:val="normaltextrun"/>
          <w:rFonts w:eastAsia="Calibri"/>
          <w:color w:val="76C204"/>
          <w:sz w:val="22"/>
          <w:szCs w:val="22"/>
        </w:rPr>
        <w:t>Research Process</w:t>
      </w:r>
    </w:p>
    <w:p w14:paraId="53437D75" w14:textId="7A019A23" w:rsidR="00434445" w:rsidRDefault="00301453" w:rsidP="00434445">
      <w:pPr>
        <w:pStyle w:val="paragraph"/>
        <w:spacing w:after="0"/>
        <w:textAlignment w:val="baseline"/>
        <w:rPr>
          <w:rFonts w:ascii="Arial" w:eastAsiaTheme="majorEastAsia" w:hAnsi="Arial" w:cs="Arial"/>
          <w:color w:val="64777E"/>
          <w:sz w:val="18"/>
          <w:szCs w:val="18"/>
        </w:rPr>
      </w:pPr>
      <w:r w:rsidRPr="00301453">
        <w:rPr>
          <w:rFonts w:ascii="Arial" w:eastAsiaTheme="majorEastAsia" w:hAnsi="Arial" w:cs="Arial"/>
          <w:color w:val="64777E"/>
          <w:sz w:val="18"/>
          <w:szCs w:val="18"/>
        </w:rPr>
        <w:t xml:space="preserve">Process is quality biased and has been </w:t>
      </w:r>
      <w:r w:rsidR="00AE09CC">
        <w:rPr>
          <w:rFonts w:ascii="Arial" w:eastAsiaTheme="majorEastAsia" w:hAnsi="Arial" w:cs="Arial"/>
          <w:color w:val="64777E"/>
          <w:sz w:val="18"/>
          <w:szCs w:val="18"/>
        </w:rPr>
        <w:t>implemented in the long only portfolio</w:t>
      </w:r>
      <w:r w:rsidRPr="00301453">
        <w:rPr>
          <w:rFonts w:ascii="Arial" w:eastAsiaTheme="majorEastAsia" w:hAnsi="Arial" w:cs="Arial"/>
          <w:color w:val="64777E"/>
          <w:sz w:val="18"/>
          <w:szCs w:val="18"/>
        </w:rPr>
        <w:t xml:space="preserve"> since the early 2000s. </w:t>
      </w:r>
      <w:r w:rsidR="00434445" w:rsidRPr="00434445">
        <w:rPr>
          <w:rFonts w:ascii="Arial" w:eastAsiaTheme="majorEastAsia" w:hAnsi="Arial" w:cs="Arial"/>
          <w:color w:val="64777E"/>
          <w:sz w:val="18"/>
          <w:szCs w:val="18"/>
        </w:rPr>
        <w:t>This score is driven by 10 sub</w:t>
      </w:r>
      <w:r w:rsidR="00434445">
        <w:rPr>
          <w:rFonts w:ascii="Arial" w:eastAsiaTheme="majorEastAsia" w:hAnsi="Arial" w:cs="Arial"/>
          <w:color w:val="64777E"/>
          <w:sz w:val="18"/>
          <w:szCs w:val="18"/>
        </w:rPr>
        <w:t>-</w:t>
      </w:r>
      <w:r w:rsidR="00434445" w:rsidRPr="00434445">
        <w:rPr>
          <w:rFonts w:ascii="Arial" w:eastAsiaTheme="majorEastAsia" w:hAnsi="Arial" w:cs="Arial"/>
          <w:color w:val="64777E"/>
          <w:sz w:val="18"/>
          <w:szCs w:val="18"/>
        </w:rPr>
        <w:t>component</w:t>
      </w:r>
      <w:r w:rsidR="00434445">
        <w:rPr>
          <w:rFonts w:ascii="Arial" w:eastAsiaTheme="majorEastAsia" w:hAnsi="Arial" w:cs="Arial"/>
          <w:color w:val="64777E"/>
          <w:sz w:val="18"/>
          <w:szCs w:val="18"/>
        </w:rPr>
        <w:t xml:space="preserve">s </w:t>
      </w:r>
      <w:r w:rsidR="00434445" w:rsidRPr="00434445">
        <w:rPr>
          <w:rFonts w:ascii="Arial" w:eastAsiaTheme="majorEastAsia" w:hAnsi="Arial" w:cs="Arial"/>
          <w:color w:val="64777E"/>
          <w:sz w:val="18"/>
          <w:szCs w:val="18"/>
        </w:rPr>
        <w:t>comprising of variables such as industry and company</w:t>
      </w:r>
      <w:r w:rsidR="00434445">
        <w:rPr>
          <w:rFonts w:ascii="Arial" w:eastAsiaTheme="majorEastAsia" w:hAnsi="Arial" w:cs="Arial"/>
          <w:color w:val="64777E"/>
          <w:sz w:val="18"/>
          <w:szCs w:val="18"/>
        </w:rPr>
        <w:t xml:space="preserve"> </w:t>
      </w:r>
      <w:r w:rsidR="00434445" w:rsidRPr="00434445">
        <w:rPr>
          <w:rFonts w:ascii="Arial" w:eastAsiaTheme="majorEastAsia" w:hAnsi="Arial" w:cs="Arial"/>
          <w:color w:val="64777E"/>
          <w:sz w:val="18"/>
          <w:szCs w:val="18"/>
        </w:rPr>
        <w:t>growth, management quality, capital management and</w:t>
      </w:r>
      <w:r w:rsidR="00434445">
        <w:rPr>
          <w:rFonts w:ascii="Arial" w:eastAsiaTheme="majorEastAsia" w:hAnsi="Arial" w:cs="Arial"/>
          <w:color w:val="64777E"/>
          <w:sz w:val="18"/>
          <w:szCs w:val="18"/>
        </w:rPr>
        <w:t xml:space="preserve"> </w:t>
      </w:r>
      <w:r w:rsidR="00434445" w:rsidRPr="00434445">
        <w:rPr>
          <w:rFonts w:ascii="Arial" w:eastAsiaTheme="majorEastAsia" w:hAnsi="Arial" w:cs="Arial"/>
          <w:color w:val="64777E"/>
          <w:sz w:val="18"/>
          <w:szCs w:val="18"/>
        </w:rPr>
        <w:t>shareholder returns. Each of the 10 sub-components i</w:t>
      </w:r>
      <w:r w:rsidR="00434445">
        <w:rPr>
          <w:rFonts w:ascii="Arial" w:eastAsiaTheme="majorEastAsia" w:hAnsi="Arial" w:cs="Arial"/>
          <w:color w:val="64777E"/>
          <w:sz w:val="18"/>
          <w:szCs w:val="18"/>
        </w:rPr>
        <w:t xml:space="preserve">s </w:t>
      </w:r>
      <w:r w:rsidR="00434445" w:rsidRPr="00434445">
        <w:rPr>
          <w:rFonts w:ascii="Arial" w:eastAsiaTheme="majorEastAsia" w:hAnsi="Arial" w:cs="Arial"/>
          <w:color w:val="64777E"/>
          <w:sz w:val="18"/>
          <w:szCs w:val="18"/>
        </w:rPr>
        <w:t>rated from 1 to 5 and accumulated.</w:t>
      </w:r>
      <w:r w:rsidR="00434445">
        <w:rPr>
          <w:rFonts w:ascii="Arial" w:eastAsiaTheme="majorEastAsia" w:hAnsi="Arial" w:cs="Arial"/>
          <w:color w:val="64777E"/>
          <w:sz w:val="18"/>
          <w:szCs w:val="18"/>
        </w:rPr>
        <w:t xml:space="preserve"> </w:t>
      </w:r>
      <w:r w:rsidR="00434445" w:rsidRPr="00434445">
        <w:rPr>
          <w:rFonts w:ascii="Arial" w:eastAsiaTheme="majorEastAsia" w:hAnsi="Arial" w:cs="Arial"/>
          <w:color w:val="64777E"/>
          <w:sz w:val="18"/>
          <w:szCs w:val="18"/>
        </w:rPr>
        <w:t>Only companies with</w:t>
      </w:r>
      <w:r w:rsidR="00434445">
        <w:rPr>
          <w:rFonts w:ascii="Arial" w:eastAsiaTheme="majorEastAsia" w:hAnsi="Arial" w:cs="Arial"/>
          <w:color w:val="64777E"/>
          <w:sz w:val="18"/>
          <w:szCs w:val="18"/>
        </w:rPr>
        <w:t xml:space="preserve"> </w:t>
      </w:r>
      <w:r w:rsidR="00434445" w:rsidRPr="00434445">
        <w:rPr>
          <w:rFonts w:ascii="Arial" w:eastAsiaTheme="majorEastAsia" w:hAnsi="Arial" w:cs="Arial"/>
          <w:color w:val="64777E"/>
          <w:sz w:val="18"/>
          <w:szCs w:val="18"/>
        </w:rPr>
        <w:t>a Quality Score equal to or greater than 30 are considered</w:t>
      </w:r>
      <w:r w:rsidR="00434445">
        <w:rPr>
          <w:rFonts w:ascii="Arial" w:eastAsiaTheme="majorEastAsia" w:hAnsi="Arial" w:cs="Arial"/>
          <w:color w:val="64777E"/>
          <w:sz w:val="18"/>
          <w:szCs w:val="18"/>
        </w:rPr>
        <w:t xml:space="preserve"> </w:t>
      </w:r>
      <w:r w:rsidR="00434445" w:rsidRPr="00434445">
        <w:rPr>
          <w:rFonts w:ascii="Arial" w:eastAsiaTheme="majorEastAsia" w:hAnsi="Arial" w:cs="Arial"/>
          <w:color w:val="64777E"/>
          <w:sz w:val="18"/>
          <w:szCs w:val="18"/>
        </w:rPr>
        <w:t>investible for the long side of the portfolio.</w:t>
      </w:r>
      <w:r w:rsidR="00434445">
        <w:rPr>
          <w:rFonts w:ascii="Arial" w:eastAsiaTheme="majorEastAsia" w:hAnsi="Arial" w:cs="Arial"/>
          <w:color w:val="64777E"/>
          <w:sz w:val="18"/>
          <w:szCs w:val="18"/>
        </w:rPr>
        <w:t xml:space="preserve"> </w:t>
      </w:r>
      <w:r w:rsidR="00AE09CC">
        <w:rPr>
          <w:rFonts w:ascii="Arial" w:eastAsiaTheme="majorEastAsia" w:hAnsi="Arial" w:cs="Arial"/>
          <w:color w:val="64777E"/>
          <w:sz w:val="18"/>
          <w:szCs w:val="18"/>
        </w:rPr>
        <w:t>The q</w:t>
      </w:r>
      <w:r w:rsidR="00434445" w:rsidRPr="00301453">
        <w:rPr>
          <w:rFonts w:ascii="Arial" w:eastAsiaTheme="majorEastAsia" w:hAnsi="Arial" w:cs="Arial"/>
          <w:color w:val="64777E"/>
          <w:sz w:val="18"/>
          <w:szCs w:val="18"/>
        </w:rPr>
        <w:t>uality score is re-tested every six months and whenever significant news comes out</w:t>
      </w:r>
      <w:r w:rsidR="00AE09CC">
        <w:rPr>
          <w:rFonts w:ascii="Arial" w:eastAsiaTheme="majorEastAsia" w:hAnsi="Arial" w:cs="Arial"/>
          <w:color w:val="64777E"/>
          <w:sz w:val="18"/>
          <w:szCs w:val="18"/>
        </w:rPr>
        <w:t xml:space="preserve"> to ensure accuracy. </w:t>
      </w:r>
    </w:p>
    <w:p w14:paraId="55302F6D" w14:textId="037AA37B" w:rsidR="00301453" w:rsidRDefault="00434445" w:rsidP="00301453">
      <w:pPr>
        <w:pStyle w:val="paragraph"/>
        <w:spacing w:after="0"/>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In addition to this the manager will conduct a valuation analysis to rank stocks based on their “valuation gap”. </w:t>
      </w:r>
      <w:r w:rsidR="00AE09CC">
        <w:rPr>
          <w:rFonts w:ascii="Arial" w:eastAsiaTheme="majorEastAsia" w:hAnsi="Arial" w:cs="Arial"/>
          <w:color w:val="64777E"/>
          <w:sz w:val="18"/>
          <w:szCs w:val="18"/>
        </w:rPr>
        <w:t xml:space="preserve">Analysts will use valuation methods depending on the industry and competitive factors. </w:t>
      </w:r>
      <w:r>
        <w:rPr>
          <w:rFonts w:ascii="Arial" w:eastAsiaTheme="majorEastAsia" w:hAnsi="Arial" w:cs="Arial"/>
          <w:color w:val="64777E"/>
          <w:sz w:val="18"/>
          <w:szCs w:val="18"/>
        </w:rPr>
        <w:t xml:space="preserve">The manager </w:t>
      </w:r>
      <w:r w:rsidR="00301453" w:rsidRPr="00301453">
        <w:rPr>
          <w:rFonts w:ascii="Arial" w:eastAsiaTheme="majorEastAsia" w:hAnsi="Arial" w:cs="Arial"/>
          <w:color w:val="64777E"/>
          <w:sz w:val="18"/>
          <w:szCs w:val="18"/>
        </w:rPr>
        <w:t>pair</w:t>
      </w:r>
      <w:r>
        <w:rPr>
          <w:rFonts w:ascii="Arial" w:eastAsiaTheme="majorEastAsia" w:hAnsi="Arial" w:cs="Arial"/>
          <w:color w:val="64777E"/>
          <w:sz w:val="18"/>
          <w:szCs w:val="18"/>
        </w:rPr>
        <w:t>s the quality score with the valuation gap</w:t>
      </w:r>
      <w:r w:rsidR="00301453" w:rsidRPr="00301453">
        <w:rPr>
          <w:rFonts w:ascii="Arial" w:eastAsiaTheme="majorEastAsia" w:hAnsi="Arial" w:cs="Arial"/>
          <w:color w:val="64777E"/>
          <w:sz w:val="18"/>
          <w:szCs w:val="18"/>
        </w:rPr>
        <w:t xml:space="preserve"> which </w:t>
      </w:r>
      <w:r>
        <w:rPr>
          <w:rFonts w:ascii="Arial" w:eastAsiaTheme="majorEastAsia" w:hAnsi="Arial" w:cs="Arial"/>
          <w:color w:val="64777E"/>
          <w:sz w:val="18"/>
          <w:szCs w:val="18"/>
        </w:rPr>
        <w:t>creates</w:t>
      </w:r>
      <w:r w:rsidR="00301453" w:rsidRPr="00301453">
        <w:rPr>
          <w:rFonts w:ascii="Arial" w:eastAsiaTheme="majorEastAsia" w:hAnsi="Arial" w:cs="Arial"/>
          <w:color w:val="64777E"/>
          <w:sz w:val="18"/>
          <w:szCs w:val="18"/>
        </w:rPr>
        <w:t xml:space="preserve"> a rubric that determines position size. </w:t>
      </w:r>
    </w:p>
    <w:p w14:paraId="5C727889" w14:textId="2E87085F" w:rsidR="00AE09CC" w:rsidRDefault="00AE09CC" w:rsidP="00AE09CC">
      <w:pPr>
        <w:pStyle w:val="paragraph"/>
        <w:spacing w:after="0"/>
        <w:textAlignment w:val="baseline"/>
        <w:rPr>
          <w:rFonts w:ascii="Arial" w:eastAsiaTheme="majorEastAsia" w:hAnsi="Arial" w:cs="Arial"/>
          <w:color w:val="64777E"/>
          <w:sz w:val="18"/>
          <w:szCs w:val="18"/>
        </w:rPr>
      </w:pPr>
      <w:r w:rsidRPr="00AE09CC">
        <w:rPr>
          <w:rFonts w:ascii="Arial" w:eastAsiaTheme="majorEastAsia" w:hAnsi="Arial" w:cs="Arial"/>
          <w:color w:val="64777E"/>
          <w:sz w:val="18"/>
          <w:szCs w:val="18"/>
        </w:rPr>
        <w:t>In relation to the Fund’s shorting program, the same methodology of security analysis is employed with short candidates tending to arise from lower quality stocks that likely have pronounced negative Growth.</w:t>
      </w:r>
    </w:p>
    <w:p w14:paraId="2F51C728" w14:textId="06CCC0D2" w:rsidR="00BB5F1D" w:rsidRDefault="00BB5F1D" w:rsidP="00AE09CC">
      <w:pPr>
        <w:pStyle w:val="paragraph"/>
        <w:spacing w:after="0"/>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Atchison believe the manager’s process is highly structured and rules based. This ultimately enhances the repeatability and consistency of the process. </w:t>
      </w:r>
    </w:p>
    <w:p w14:paraId="7FDCC1E6" w14:textId="004B5DCB" w:rsidR="00434445" w:rsidRDefault="00434445" w:rsidP="00D01BF8">
      <w:pPr>
        <w:pStyle w:val="paragraph"/>
        <w:spacing w:before="0" w:beforeAutospacing="0" w:after="0" w:afterAutospacing="0"/>
        <w:textAlignment w:val="baseline"/>
        <w:rPr>
          <w:rFonts w:ascii="Arial" w:eastAsiaTheme="majorEastAsia" w:hAnsi="Arial" w:cs="Arial"/>
          <w:color w:val="64777E"/>
          <w:sz w:val="18"/>
          <w:szCs w:val="18"/>
        </w:rPr>
      </w:pPr>
      <w:r w:rsidRPr="00434445">
        <w:rPr>
          <w:rFonts w:ascii="Arial" w:eastAsiaTheme="majorEastAsia" w:hAnsi="Arial" w:cs="Arial"/>
          <w:noProof/>
          <w:color w:val="64777E"/>
          <w:sz w:val="18"/>
          <w:szCs w:val="18"/>
        </w:rPr>
        <w:drawing>
          <wp:inline distT="0" distB="0" distL="0" distR="0" wp14:anchorId="6659E7EC" wp14:editId="77CF8165">
            <wp:extent cx="5135270" cy="2294543"/>
            <wp:effectExtent l="0" t="0" r="8255" b="0"/>
            <wp:docPr id="1973510517" name="Picture 1" descr="A chart with numbers and 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10517" name="Picture 1" descr="A chart with numbers and a number in a square&#10;&#10;Description automatically generated with medium confidence"/>
                    <pic:cNvPicPr/>
                  </pic:nvPicPr>
                  <pic:blipFill>
                    <a:blip r:embed="rId12"/>
                    <a:stretch>
                      <a:fillRect/>
                    </a:stretch>
                  </pic:blipFill>
                  <pic:spPr>
                    <a:xfrm>
                      <a:off x="0" y="0"/>
                      <a:ext cx="5159762" cy="2305486"/>
                    </a:xfrm>
                    <a:prstGeom prst="rect">
                      <a:avLst/>
                    </a:prstGeom>
                  </pic:spPr>
                </pic:pic>
              </a:graphicData>
            </a:graphic>
          </wp:inline>
        </w:drawing>
      </w:r>
    </w:p>
    <w:p w14:paraId="3966D287" w14:textId="77777777" w:rsidR="00434445" w:rsidRDefault="00434445" w:rsidP="00D01BF8">
      <w:pPr>
        <w:pStyle w:val="paragraph"/>
        <w:spacing w:before="0" w:beforeAutospacing="0" w:after="0" w:afterAutospacing="0"/>
        <w:textAlignment w:val="baseline"/>
        <w:rPr>
          <w:rFonts w:ascii="Arial" w:eastAsiaTheme="majorEastAsia" w:hAnsi="Arial" w:cs="Arial"/>
          <w:color w:val="64777E"/>
          <w:sz w:val="18"/>
          <w:szCs w:val="18"/>
        </w:rPr>
      </w:pPr>
    </w:p>
    <w:p w14:paraId="268649BD" w14:textId="77777777" w:rsidR="00A36914" w:rsidRDefault="00A36914" w:rsidP="00D01BF8">
      <w:pPr>
        <w:pStyle w:val="paragraph"/>
        <w:shd w:val="clear" w:color="auto" w:fill="FFFFFF"/>
        <w:spacing w:before="0" w:beforeAutospacing="0" w:after="0" w:afterAutospacing="0"/>
        <w:jc w:val="both"/>
        <w:textAlignment w:val="baseline"/>
        <w:rPr>
          <w:rStyle w:val="normaltextrun"/>
          <w:rFonts w:eastAsia="Calibri"/>
          <w:color w:val="76C204"/>
          <w:sz w:val="22"/>
          <w:szCs w:val="22"/>
        </w:rPr>
      </w:pPr>
    </w:p>
    <w:p w14:paraId="56A70E94" w14:textId="5E0CA798" w:rsidR="00D01BF8" w:rsidRDefault="00D01BF8" w:rsidP="00D01BF8">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Style w:val="normaltextrun"/>
          <w:rFonts w:eastAsia="Calibri"/>
          <w:color w:val="76C204"/>
          <w:sz w:val="22"/>
          <w:szCs w:val="22"/>
        </w:rPr>
        <w:t>Portfolio Construction</w:t>
      </w:r>
    </w:p>
    <w:p w14:paraId="61E718A8" w14:textId="77777777" w:rsidR="00D01BF8" w:rsidRDefault="00D01BF8" w:rsidP="00D01BF8">
      <w:pPr>
        <w:pStyle w:val="paragraph"/>
        <w:spacing w:before="0" w:beforeAutospacing="0" w:after="0" w:afterAutospacing="0"/>
        <w:textAlignment w:val="baseline"/>
        <w:rPr>
          <w:rFonts w:ascii="Arial" w:eastAsiaTheme="majorEastAsia" w:hAnsi="Arial" w:cs="Arial"/>
          <w:color w:val="64777E"/>
          <w:sz w:val="18"/>
          <w:szCs w:val="18"/>
        </w:rPr>
      </w:pPr>
    </w:p>
    <w:p w14:paraId="5E5830C2" w14:textId="110EE61C" w:rsidR="00D01BF8" w:rsidRDefault="003C1731" w:rsidP="00D01BF8">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 xml:space="preserve">The final portfolio will consist of roughly 25-35 long positions and </w:t>
      </w:r>
      <w:r w:rsidR="000017DB">
        <w:rPr>
          <w:rStyle w:val="normaltextrun"/>
          <w:rFonts w:ascii="Arial" w:eastAsiaTheme="majorEastAsia" w:hAnsi="Arial" w:cs="Arial"/>
          <w:color w:val="64777E"/>
          <w:sz w:val="18"/>
          <w:szCs w:val="18"/>
        </w:rPr>
        <w:t xml:space="preserve">12-25 short positions. </w:t>
      </w:r>
      <w:r w:rsidR="00A36914">
        <w:rPr>
          <w:rStyle w:val="normaltextrun"/>
          <w:rFonts w:ascii="Arial" w:eastAsiaTheme="majorEastAsia" w:hAnsi="Arial" w:cs="Arial"/>
          <w:color w:val="64777E"/>
          <w:sz w:val="18"/>
          <w:szCs w:val="18"/>
        </w:rPr>
        <w:t xml:space="preserve">The portfolio construction process is rules based and driven primarily from the scoring rubric. Clear and pre-determined weights for each </w:t>
      </w:r>
      <w:r w:rsidR="00B27BB8">
        <w:rPr>
          <w:rStyle w:val="normaltextrun"/>
          <w:rFonts w:ascii="Arial" w:eastAsiaTheme="majorEastAsia" w:hAnsi="Arial" w:cs="Arial"/>
          <w:color w:val="64777E"/>
          <w:sz w:val="18"/>
          <w:szCs w:val="18"/>
        </w:rPr>
        <w:t>score</w:t>
      </w:r>
      <w:r w:rsidR="00A36914">
        <w:rPr>
          <w:rStyle w:val="normaltextrun"/>
          <w:rFonts w:ascii="Arial" w:eastAsiaTheme="majorEastAsia" w:hAnsi="Arial" w:cs="Arial"/>
          <w:color w:val="64777E"/>
          <w:sz w:val="18"/>
          <w:szCs w:val="18"/>
        </w:rPr>
        <w:t xml:space="preserve"> based on the intersection of the quality score and the valuation score. </w:t>
      </w:r>
    </w:p>
    <w:p w14:paraId="20756A5C" w14:textId="77777777" w:rsidR="00A36914" w:rsidRDefault="00A36914" w:rsidP="00D01BF8">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p>
    <w:p w14:paraId="78535B90" w14:textId="4CD9D7F7" w:rsidR="00D01BF8" w:rsidRDefault="00A36914" w:rsidP="00A36914">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Fonts w:ascii="Arial" w:eastAsiaTheme="majorEastAsia" w:hAnsi="Arial" w:cs="Arial"/>
          <w:color w:val="64777E"/>
          <w:sz w:val="18"/>
          <w:szCs w:val="18"/>
        </w:rPr>
        <w:t xml:space="preserve">The Manager has a set guide for position sizing based on the assessment of quality and valuation upside. This is seen as a strength compared to some less structured peers. Sell decisions are based on a deterioration of quality or when valuation has extended beyond the team’s assessment. </w:t>
      </w:r>
    </w:p>
    <w:p w14:paraId="30ECA264" w14:textId="77777777" w:rsidR="00D01BF8" w:rsidRDefault="00D01BF8" w:rsidP="00D01BF8">
      <w:pPr>
        <w:pStyle w:val="paragraph"/>
        <w:shd w:val="clear" w:color="auto" w:fill="FFFFFF"/>
        <w:spacing w:before="0" w:beforeAutospacing="0" w:after="0" w:afterAutospacing="0"/>
        <w:jc w:val="both"/>
        <w:textAlignment w:val="baseline"/>
        <w:rPr>
          <w:rStyle w:val="normaltextrun"/>
          <w:rFonts w:eastAsia="Calibri"/>
          <w:color w:val="76C204"/>
          <w:sz w:val="22"/>
          <w:szCs w:val="22"/>
        </w:rPr>
      </w:pPr>
    </w:p>
    <w:p w14:paraId="011EB292" w14:textId="77777777" w:rsidR="00D01BF8" w:rsidRDefault="00D01BF8" w:rsidP="00D01BF8">
      <w:pPr>
        <w:pStyle w:val="paragraph"/>
        <w:shd w:val="clear" w:color="auto" w:fill="FFFFFF"/>
        <w:spacing w:before="0" w:beforeAutospacing="0" w:after="0" w:afterAutospacing="0"/>
        <w:jc w:val="both"/>
        <w:textAlignment w:val="baseline"/>
        <w:rPr>
          <w:rStyle w:val="normaltextrun"/>
          <w:rFonts w:eastAsia="Calibri"/>
          <w:color w:val="76C204"/>
          <w:sz w:val="22"/>
          <w:szCs w:val="22"/>
        </w:rPr>
      </w:pPr>
      <w:r>
        <w:rPr>
          <w:rStyle w:val="normaltextrun"/>
          <w:rFonts w:eastAsia="Calibri"/>
          <w:color w:val="76C204"/>
          <w:sz w:val="22"/>
          <w:szCs w:val="22"/>
        </w:rPr>
        <w:t>Risk Management</w:t>
      </w:r>
    </w:p>
    <w:p w14:paraId="2435C069" w14:textId="77777777" w:rsidR="00E878F1" w:rsidRDefault="00E878F1" w:rsidP="00E878F1">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11B52F28" w14:textId="4768CD1F" w:rsidR="00D01BF8" w:rsidRPr="000429F7" w:rsidRDefault="00434445" w:rsidP="00D01BF8">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r w:rsidRPr="00301453">
        <w:rPr>
          <w:rFonts w:ascii="Arial" w:eastAsiaTheme="majorEastAsia" w:hAnsi="Arial" w:cs="Arial"/>
          <w:color w:val="64777E"/>
          <w:sz w:val="18"/>
          <w:szCs w:val="18"/>
        </w:rPr>
        <w:t>They do have the ability to wind down the short exposure when they see times of stress which is a positive.</w:t>
      </w:r>
      <w:r w:rsidR="0082099B">
        <w:rPr>
          <w:rFonts w:ascii="Arial" w:eastAsiaTheme="majorEastAsia" w:hAnsi="Arial" w:cs="Arial"/>
          <w:color w:val="64777E"/>
          <w:sz w:val="18"/>
          <w:szCs w:val="18"/>
        </w:rPr>
        <w:t xml:space="preserve"> </w:t>
      </w:r>
      <w:r w:rsidR="00E878F1">
        <w:rPr>
          <w:rFonts w:ascii="Arial" w:eastAsiaTheme="majorEastAsia" w:hAnsi="Arial" w:cs="Arial"/>
          <w:color w:val="64777E"/>
          <w:sz w:val="18"/>
          <w:szCs w:val="18"/>
        </w:rPr>
        <w:t>The Manager is relatively unconstrained in terms of positioning and managing the Fund. There are few risk limits in place, however, this is consistent with the high conviction design.</w:t>
      </w:r>
      <w:r w:rsidR="000429F7">
        <w:rPr>
          <w:rFonts w:ascii="Arial" w:eastAsiaTheme="majorEastAsia" w:hAnsi="Arial" w:cs="Arial"/>
          <w:color w:val="64777E"/>
          <w:sz w:val="18"/>
          <w:szCs w:val="18"/>
        </w:rPr>
        <w:t xml:space="preserve"> </w:t>
      </w:r>
      <w:r w:rsidR="00E878F1">
        <w:rPr>
          <w:rFonts w:ascii="Arial" w:eastAsiaTheme="majorEastAsia" w:hAnsi="Arial" w:cs="Arial"/>
          <w:color w:val="64777E"/>
          <w:sz w:val="18"/>
          <w:szCs w:val="18"/>
        </w:rPr>
        <w:t xml:space="preserve">Shorts have a maximum holding period of one year, which is seen as </w:t>
      </w:r>
      <w:r w:rsidR="000429F7">
        <w:rPr>
          <w:rFonts w:ascii="Arial" w:eastAsiaTheme="majorEastAsia" w:hAnsi="Arial" w:cs="Arial"/>
          <w:color w:val="64777E"/>
          <w:sz w:val="18"/>
          <w:szCs w:val="18"/>
        </w:rPr>
        <w:t>long and potentially hurtful to alpha.</w:t>
      </w:r>
    </w:p>
    <w:p w14:paraId="6DA5389A" w14:textId="77777777" w:rsidR="00D01BF8" w:rsidRDefault="00D01BF8" w:rsidP="00D01BF8">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76796B05" w14:textId="77777777" w:rsidR="00D01BF8" w:rsidRDefault="00D01BF8" w:rsidP="00D01BF8">
      <w:pPr>
        <w:pBdr>
          <w:top w:val="nil"/>
          <w:left w:val="nil"/>
          <w:bottom w:val="nil"/>
          <w:right w:val="nil"/>
          <w:between w:val="nil"/>
        </w:pBdr>
        <w:spacing w:after="0" w:line="276" w:lineRule="auto"/>
        <w:jc w:val="both"/>
        <w:rPr>
          <w:rFonts w:ascii="Arial" w:eastAsia="Calibri" w:hAnsi="Arial" w:cs="Times New Roman"/>
          <w:color w:val="76C204"/>
          <w:kern w:val="0"/>
          <w:sz w:val="28"/>
          <w:szCs w:val="28"/>
          <w14:ligatures w14:val="none"/>
        </w:rPr>
      </w:pPr>
      <w:r w:rsidRPr="003F7188">
        <w:rPr>
          <w:rFonts w:ascii="Arial" w:eastAsia="Calibri" w:hAnsi="Arial" w:cs="Times New Roman"/>
          <w:color w:val="76C204"/>
          <w:kern w:val="0"/>
          <w:sz w:val="28"/>
          <w:szCs w:val="28"/>
          <w14:ligatures w14:val="none"/>
        </w:rPr>
        <w:t>PORTFOLIO CHARACTERISTICS</w:t>
      </w:r>
    </w:p>
    <w:p w14:paraId="2B0BA16B" w14:textId="77777777" w:rsidR="00D01BF8" w:rsidRPr="003F7188" w:rsidRDefault="00D01BF8" w:rsidP="00D01BF8">
      <w:pPr>
        <w:pBdr>
          <w:top w:val="nil"/>
          <w:left w:val="nil"/>
          <w:bottom w:val="nil"/>
          <w:right w:val="nil"/>
          <w:between w:val="nil"/>
        </w:pBdr>
        <w:spacing w:after="0" w:line="276" w:lineRule="auto"/>
        <w:jc w:val="both"/>
        <w:rPr>
          <w:rFonts w:ascii="Arial" w:eastAsia="Calibri" w:hAnsi="Arial" w:cs="Times New Roman"/>
          <w:color w:val="76C204"/>
          <w:kern w:val="0"/>
          <w:sz w:val="16"/>
          <w:szCs w:val="16"/>
          <w14:ligatures w14:val="none"/>
        </w:rPr>
      </w:pPr>
    </w:p>
    <w:p w14:paraId="783C506C" w14:textId="77777777" w:rsidR="00D01BF8" w:rsidRPr="003F7188" w:rsidRDefault="00D01BF8" w:rsidP="00D01BF8">
      <w:pPr>
        <w:pBdr>
          <w:top w:val="nil"/>
          <w:left w:val="nil"/>
          <w:bottom w:val="nil"/>
          <w:right w:val="nil"/>
          <w:between w:val="nil"/>
        </w:pBdr>
        <w:spacing w:after="0" w:line="276" w:lineRule="auto"/>
        <w:jc w:val="both"/>
        <w:rPr>
          <w:rFonts w:ascii="Arial" w:eastAsia="Calibri" w:hAnsi="Arial" w:cs="Times New Roman"/>
          <w:color w:val="76C204"/>
          <w:kern w:val="0"/>
          <w:sz w:val="22"/>
          <w:szCs w:val="22"/>
          <w14:ligatures w14:val="none"/>
        </w:rPr>
      </w:pPr>
      <w:r w:rsidRPr="003F7188">
        <w:rPr>
          <w:rFonts w:ascii="Arial" w:eastAsia="Calibri" w:hAnsi="Arial" w:cs="Times New Roman"/>
          <w:color w:val="76C204"/>
          <w:kern w:val="0"/>
          <w:sz w:val="22"/>
          <w:szCs w:val="22"/>
          <w14:ligatures w14:val="none"/>
        </w:rPr>
        <w:t xml:space="preserve">Portfolio Turnover </w:t>
      </w:r>
    </w:p>
    <w:p w14:paraId="24AFD5D4" w14:textId="77777777" w:rsidR="006536A0" w:rsidRDefault="006536A0" w:rsidP="006536A0">
      <w:pPr>
        <w:pBdr>
          <w:top w:val="nil"/>
          <w:left w:val="nil"/>
          <w:bottom w:val="nil"/>
          <w:right w:val="nil"/>
          <w:between w:val="nil"/>
        </w:pBdr>
        <w:spacing w:after="0" w:line="276" w:lineRule="auto"/>
        <w:rPr>
          <w:rFonts w:ascii="Arial" w:eastAsia="Arial" w:hAnsi="Arial" w:cs="Century Gothic Pro"/>
          <w:color w:val="64777E"/>
          <w:kern w:val="0"/>
          <w:sz w:val="18"/>
          <w:szCs w:val="18"/>
          <w14:ligatures w14:val="none"/>
        </w:rPr>
      </w:pPr>
    </w:p>
    <w:p w14:paraId="24592089" w14:textId="6D539A39" w:rsidR="00D01BF8" w:rsidRPr="002C23E6" w:rsidRDefault="006536A0" w:rsidP="00D01BF8">
      <w:pPr>
        <w:pBdr>
          <w:top w:val="nil"/>
          <w:left w:val="nil"/>
          <w:bottom w:val="nil"/>
          <w:right w:val="nil"/>
          <w:between w:val="nil"/>
        </w:pBdr>
        <w:spacing w:after="0" w:line="276" w:lineRule="auto"/>
        <w:rPr>
          <w:rFonts w:ascii="Arial" w:eastAsia="Calibri" w:hAnsi="Arial" w:cs="Times New Roman"/>
          <w:color w:val="64777E"/>
          <w:kern w:val="0"/>
          <w:sz w:val="28"/>
          <w:szCs w:val="28"/>
          <w14:ligatures w14:val="none"/>
        </w:rPr>
      </w:pPr>
      <w:r>
        <w:rPr>
          <w:rFonts w:ascii="Arial" w:eastAsia="Arial" w:hAnsi="Arial" w:cs="Century Gothic Pro"/>
          <w:color w:val="64777E"/>
          <w:kern w:val="0"/>
          <w:sz w:val="18"/>
          <w:szCs w:val="18"/>
          <w14:ligatures w14:val="none"/>
        </w:rPr>
        <w:t xml:space="preserve">The manager is active in adding and trimming </w:t>
      </w:r>
      <w:r w:rsidR="002C23E6">
        <w:rPr>
          <w:rFonts w:ascii="Arial" w:eastAsia="Arial" w:hAnsi="Arial" w:cs="Century Gothic Pro"/>
          <w:color w:val="64777E"/>
          <w:kern w:val="0"/>
          <w:sz w:val="18"/>
          <w:szCs w:val="18"/>
          <w14:ligatures w14:val="none"/>
        </w:rPr>
        <w:t>names;</w:t>
      </w:r>
      <w:r>
        <w:rPr>
          <w:rFonts w:ascii="Arial" w:eastAsia="Arial" w:hAnsi="Arial" w:cs="Century Gothic Pro"/>
          <w:color w:val="64777E"/>
          <w:kern w:val="0"/>
          <w:sz w:val="18"/>
          <w:szCs w:val="18"/>
          <w14:ligatures w14:val="none"/>
        </w:rPr>
        <w:t xml:space="preserve"> however, actual name turnover is low. Long positions are typically held for 3 years while short positions are held </w:t>
      </w:r>
      <w:r w:rsidR="002C23E6">
        <w:rPr>
          <w:rFonts w:ascii="Arial" w:eastAsia="Arial" w:hAnsi="Arial" w:cs="Century Gothic Pro"/>
          <w:color w:val="64777E"/>
          <w:kern w:val="0"/>
          <w:sz w:val="18"/>
          <w:szCs w:val="18"/>
          <w14:ligatures w14:val="none"/>
        </w:rPr>
        <w:t xml:space="preserve">for up to or less than a year. </w:t>
      </w:r>
    </w:p>
    <w:p w14:paraId="6F26B540" w14:textId="77777777" w:rsidR="000429F7" w:rsidRPr="003F7188" w:rsidRDefault="000429F7" w:rsidP="00D01BF8">
      <w:pPr>
        <w:pBdr>
          <w:top w:val="nil"/>
          <w:left w:val="nil"/>
          <w:bottom w:val="nil"/>
          <w:right w:val="nil"/>
          <w:between w:val="nil"/>
        </w:pBdr>
        <w:spacing w:after="0" w:line="276" w:lineRule="auto"/>
        <w:rPr>
          <w:rFonts w:ascii="Arial" w:eastAsia="Calibri" w:hAnsi="Arial" w:cs="Times New Roman"/>
          <w:color w:val="76C204"/>
          <w:kern w:val="0"/>
          <w:sz w:val="28"/>
          <w:szCs w:val="28"/>
          <w14:ligatures w14:val="none"/>
        </w:rPr>
      </w:pPr>
    </w:p>
    <w:p w14:paraId="0A41E0CB" w14:textId="77777777" w:rsidR="00D01BF8" w:rsidRPr="003F7188" w:rsidRDefault="00D01BF8" w:rsidP="00D01BF8">
      <w:pPr>
        <w:pBdr>
          <w:top w:val="nil"/>
          <w:left w:val="nil"/>
          <w:bottom w:val="nil"/>
          <w:right w:val="nil"/>
          <w:between w:val="nil"/>
        </w:pBdr>
        <w:spacing w:after="0" w:line="240" w:lineRule="auto"/>
        <w:rPr>
          <w:rFonts w:ascii="Arial" w:eastAsia="Calibri" w:hAnsi="Arial" w:cs="Times New Roman"/>
          <w:color w:val="76C204"/>
          <w:kern w:val="0"/>
          <w:sz w:val="22"/>
          <w:szCs w:val="22"/>
          <w14:ligatures w14:val="none"/>
        </w:rPr>
      </w:pPr>
      <w:r w:rsidRPr="003F7188">
        <w:rPr>
          <w:rFonts w:ascii="Arial" w:eastAsia="Calibri" w:hAnsi="Arial" w:cs="Times New Roman"/>
          <w:color w:val="76C204"/>
          <w:kern w:val="0"/>
          <w:sz w:val="22"/>
          <w:szCs w:val="22"/>
          <w14:ligatures w14:val="none"/>
        </w:rPr>
        <w:t>Liquidity</w:t>
      </w:r>
    </w:p>
    <w:p w14:paraId="19BBEAD7" w14:textId="77777777" w:rsidR="00D01BF8" w:rsidRDefault="00D01BF8" w:rsidP="00D01BF8">
      <w:pPr>
        <w:pBdr>
          <w:top w:val="nil"/>
          <w:left w:val="nil"/>
          <w:bottom w:val="nil"/>
          <w:right w:val="nil"/>
          <w:between w:val="nil"/>
        </w:pBdr>
        <w:spacing w:after="0" w:line="276" w:lineRule="auto"/>
        <w:rPr>
          <w:rFonts w:ascii="Arial" w:eastAsia="Calibri" w:hAnsi="Arial" w:cs="Times New Roman"/>
          <w:color w:val="64777E"/>
          <w:kern w:val="0"/>
          <w:sz w:val="28"/>
          <w:szCs w:val="28"/>
          <w14:ligatures w14:val="none"/>
        </w:rPr>
      </w:pPr>
    </w:p>
    <w:p w14:paraId="5A7A0490" w14:textId="2F5C7984" w:rsidR="00461C7E" w:rsidRPr="002C23E6" w:rsidRDefault="00461C7E" w:rsidP="00461C7E">
      <w:pPr>
        <w:pBdr>
          <w:top w:val="nil"/>
          <w:left w:val="nil"/>
          <w:bottom w:val="nil"/>
          <w:right w:val="nil"/>
          <w:between w:val="nil"/>
        </w:pBdr>
        <w:spacing w:after="0" w:line="276" w:lineRule="auto"/>
        <w:rPr>
          <w:rFonts w:ascii="Arial" w:eastAsia="Calibri" w:hAnsi="Arial" w:cs="Times New Roman"/>
          <w:color w:val="64777E"/>
          <w:kern w:val="0"/>
          <w:sz w:val="28"/>
          <w:szCs w:val="28"/>
          <w14:ligatures w14:val="none"/>
        </w:rPr>
      </w:pPr>
      <w:r>
        <w:rPr>
          <w:rFonts w:ascii="Arial" w:eastAsia="Arial" w:hAnsi="Arial" w:cs="Century Gothic Pro"/>
          <w:color w:val="64777E"/>
          <w:kern w:val="0"/>
          <w:sz w:val="18"/>
          <w:szCs w:val="18"/>
          <w14:ligatures w14:val="none"/>
        </w:rPr>
        <w:t xml:space="preserve">The Fund invests in large-mid cap Australian equities and as such liquidity is not considered to be a concern.  </w:t>
      </w:r>
    </w:p>
    <w:p w14:paraId="592CE770" w14:textId="77777777" w:rsidR="00D01BF8" w:rsidRPr="003F7188" w:rsidRDefault="00D01BF8" w:rsidP="00D01BF8">
      <w:pPr>
        <w:pBdr>
          <w:top w:val="nil"/>
          <w:left w:val="nil"/>
          <w:bottom w:val="nil"/>
          <w:right w:val="nil"/>
          <w:between w:val="nil"/>
        </w:pBdr>
        <w:spacing w:after="0" w:line="276" w:lineRule="auto"/>
        <w:rPr>
          <w:rFonts w:ascii="Arial" w:eastAsia="Calibri" w:hAnsi="Arial" w:cs="Times New Roman"/>
          <w:color w:val="76C204"/>
          <w:kern w:val="0"/>
          <w:sz w:val="28"/>
          <w:szCs w:val="28"/>
          <w14:ligatures w14:val="none"/>
        </w:rPr>
      </w:pPr>
    </w:p>
    <w:p w14:paraId="2AB78968" w14:textId="77777777" w:rsidR="00D01BF8" w:rsidRPr="003F7188" w:rsidRDefault="00D01BF8" w:rsidP="00D01BF8">
      <w:pPr>
        <w:pBdr>
          <w:top w:val="nil"/>
          <w:left w:val="nil"/>
          <w:bottom w:val="nil"/>
          <w:right w:val="nil"/>
          <w:between w:val="nil"/>
        </w:pBdr>
        <w:spacing w:after="0" w:line="240" w:lineRule="auto"/>
        <w:rPr>
          <w:rFonts w:ascii="Arial" w:eastAsia="Calibri" w:hAnsi="Arial" w:cs="Times New Roman"/>
          <w:color w:val="76C204"/>
          <w:kern w:val="0"/>
          <w:sz w:val="22"/>
          <w:szCs w:val="22"/>
          <w14:ligatures w14:val="none"/>
        </w:rPr>
      </w:pPr>
      <w:r w:rsidRPr="003F7188">
        <w:rPr>
          <w:rFonts w:ascii="Arial" w:eastAsia="Calibri" w:hAnsi="Arial" w:cs="Times New Roman"/>
          <w:color w:val="76C204"/>
          <w:kern w:val="0"/>
          <w:sz w:val="22"/>
          <w:szCs w:val="22"/>
          <w14:ligatures w14:val="none"/>
        </w:rPr>
        <w:t>Leverage</w:t>
      </w:r>
    </w:p>
    <w:p w14:paraId="57343C15" w14:textId="77777777" w:rsidR="00D01BF8" w:rsidRDefault="00D01BF8" w:rsidP="00D01BF8">
      <w:pPr>
        <w:spacing w:after="0" w:line="240" w:lineRule="auto"/>
        <w:rPr>
          <w:rFonts w:ascii="Arial" w:eastAsia="Arial" w:hAnsi="Arial" w:cs="Century Gothic Pro"/>
          <w:color w:val="64777E"/>
          <w:kern w:val="0"/>
          <w:sz w:val="18"/>
          <w:szCs w:val="18"/>
          <w14:ligatures w14:val="none"/>
        </w:rPr>
      </w:pPr>
    </w:p>
    <w:p w14:paraId="088B818E" w14:textId="485978AE" w:rsidR="00461C7E" w:rsidRDefault="00461C7E" w:rsidP="00D01BF8">
      <w:pPr>
        <w:spacing w:after="0" w:line="240" w:lineRule="auto"/>
        <w:rPr>
          <w:rFonts w:ascii="Arial" w:eastAsia="Arial" w:hAnsi="Arial" w:cs="Century Gothic Pro"/>
          <w:color w:val="64777E"/>
          <w:kern w:val="0"/>
          <w:sz w:val="18"/>
          <w:szCs w:val="18"/>
          <w14:ligatures w14:val="none"/>
        </w:rPr>
      </w:pPr>
      <w:r>
        <w:rPr>
          <w:rFonts w:ascii="Arial" w:eastAsia="Arial" w:hAnsi="Arial" w:cs="Century Gothic Pro"/>
          <w:color w:val="64777E"/>
          <w:kern w:val="0"/>
          <w:sz w:val="18"/>
          <w:szCs w:val="18"/>
          <w14:ligatures w14:val="none"/>
        </w:rPr>
        <w:t xml:space="preserve">The Fund does employ leverage </w:t>
      </w:r>
      <w:r w:rsidR="0067553B">
        <w:rPr>
          <w:rFonts w:ascii="Arial" w:eastAsia="Arial" w:hAnsi="Arial" w:cs="Century Gothic Pro"/>
          <w:color w:val="64777E"/>
          <w:kern w:val="0"/>
          <w:sz w:val="18"/>
          <w:szCs w:val="18"/>
          <w14:ligatures w14:val="none"/>
        </w:rPr>
        <w:t xml:space="preserve">utilising a 150/50 portfolio </w:t>
      </w:r>
      <w:r w:rsidR="004275B1">
        <w:rPr>
          <w:rFonts w:ascii="Arial" w:eastAsia="Arial" w:hAnsi="Arial" w:cs="Century Gothic Pro"/>
          <w:color w:val="64777E"/>
          <w:kern w:val="0"/>
          <w:sz w:val="18"/>
          <w:szCs w:val="18"/>
          <w14:ligatures w14:val="none"/>
        </w:rPr>
        <w:t xml:space="preserve">maintaining a </w:t>
      </w:r>
      <w:r w:rsidR="00795EBD">
        <w:rPr>
          <w:rFonts w:ascii="Arial" w:eastAsia="Arial" w:hAnsi="Arial" w:cs="Century Gothic Pro"/>
          <w:color w:val="64777E"/>
          <w:kern w:val="0"/>
          <w:sz w:val="18"/>
          <w:szCs w:val="18"/>
          <w14:ligatures w14:val="none"/>
        </w:rPr>
        <w:t xml:space="preserve">200% gross exposure. The </w:t>
      </w:r>
      <w:r w:rsidR="0096354D">
        <w:rPr>
          <w:rFonts w:ascii="Arial" w:eastAsia="Arial" w:hAnsi="Arial" w:cs="Century Gothic Pro"/>
          <w:color w:val="64777E"/>
          <w:kern w:val="0"/>
          <w:sz w:val="18"/>
          <w:szCs w:val="18"/>
          <w14:ligatures w14:val="none"/>
        </w:rPr>
        <w:t>Fund takes 150% of its NAV long and 50% of its NAV short</w:t>
      </w:r>
      <w:r w:rsidR="00872D95">
        <w:rPr>
          <w:rFonts w:ascii="Arial" w:eastAsia="Arial" w:hAnsi="Arial" w:cs="Century Gothic Pro"/>
          <w:color w:val="64777E"/>
          <w:kern w:val="0"/>
          <w:sz w:val="18"/>
          <w:szCs w:val="18"/>
          <w14:ligatures w14:val="none"/>
        </w:rPr>
        <w:t xml:space="preserve">. </w:t>
      </w:r>
      <w:r w:rsidR="002E48BC">
        <w:rPr>
          <w:rFonts w:ascii="Arial" w:eastAsia="Arial" w:hAnsi="Arial" w:cs="Century Gothic Pro"/>
          <w:color w:val="64777E"/>
          <w:kern w:val="0"/>
          <w:sz w:val="18"/>
          <w:szCs w:val="18"/>
          <w14:ligatures w14:val="none"/>
        </w:rPr>
        <w:t xml:space="preserve">Leverage magnifies both gains and losses and as such should be treated with precaution. </w:t>
      </w:r>
    </w:p>
    <w:p w14:paraId="76461A46" w14:textId="77777777" w:rsidR="00461C7E" w:rsidRPr="003F7188" w:rsidRDefault="00461C7E" w:rsidP="00D01BF8">
      <w:pPr>
        <w:spacing w:after="0" w:line="240" w:lineRule="auto"/>
        <w:rPr>
          <w:rFonts w:ascii="Arial" w:eastAsia="Arial" w:hAnsi="Arial" w:cs="Century Gothic Pro"/>
          <w:color w:val="64777E"/>
          <w:kern w:val="0"/>
          <w:sz w:val="18"/>
          <w:szCs w:val="18"/>
          <w14:ligatures w14:val="none"/>
        </w:rPr>
      </w:pPr>
    </w:p>
    <w:p w14:paraId="73E07A75" w14:textId="77777777" w:rsidR="00337A6B" w:rsidRDefault="00337A6B" w:rsidP="00D01BF8">
      <w:pPr>
        <w:pBdr>
          <w:top w:val="nil"/>
          <w:left w:val="nil"/>
          <w:bottom w:val="nil"/>
          <w:right w:val="nil"/>
          <w:between w:val="nil"/>
        </w:pBdr>
        <w:spacing w:after="0" w:line="240" w:lineRule="auto"/>
        <w:rPr>
          <w:rFonts w:ascii="Arial" w:eastAsia="Calibri" w:hAnsi="Arial" w:cs="Times New Roman (Body CS)"/>
          <w:color w:val="76C204"/>
          <w:kern w:val="0"/>
          <w:sz w:val="28"/>
          <w:szCs w:val="28"/>
          <w14:ligatures w14:val="none"/>
        </w:rPr>
      </w:pPr>
    </w:p>
    <w:p w14:paraId="39090031" w14:textId="77777777" w:rsidR="00337A6B" w:rsidRDefault="00337A6B" w:rsidP="00D01BF8">
      <w:pPr>
        <w:pBdr>
          <w:top w:val="nil"/>
          <w:left w:val="nil"/>
          <w:bottom w:val="nil"/>
          <w:right w:val="nil"/>
          <w:between w:val="nil"/>
        </w:pBdr>
        <w:spacing w:after="0" w:line="240" w:lineRule="auto"/>
        <w:rPr>
          <w:rFonts w:ascii="Arial" w:eastAsia="Calibri" w:hAnsi="Arial" w:cs="Times New Roman (Body CS)"/>
          <w:color w:val="76C204"/>
          <w:kern w:val="0"/>
          <w:sz w:val="28"/>
          <w:szCs w:val="28"/>
          <w14:ligatures w14:val="none"/>
        </w:rPr>
      </w:pPr>
    </w:p>
    <w:p w14:paraId="5F8FBE34" w14:textId="77777777" w:rsidR="00337A6B" w:rsidRDefault="00337A6B" w:rsidP="00D01BF8">
      <w:pPr>
        <w:pBdr>
          <w:top w:val="nil"/>
          <w:left w:val="nil"/>
          <w:bottom w:val="nil"/>
          <w:right w:val="nil"/>
          <w:between w:val="nil"/>
        </w:pBdr>
        <w:spacing w:after="0" w:line="240" w:lineRule="auto"/>
        <w:rPr>
          <w:rFonts w:ascii="Arial" w:eastAsia="Calibri" w:hAnsi="Arial" w:cs="Times New Roman (Body CS)"/>
          <w:color w:val="76C204"/>
          <w:kern w:val="0"/>
          <w:sz w:val="28"/>
          <w:szCs w:val="28"/>
          <w14:ligatures w14:val="none"/>
        </w:rPr>
      </w:pPr>
    </w:p>
    <w:p w14:paraId="6D13E33B" w14:textId="77777777" w:rsidR="00337A6B" w:rsidRDefault="00337A6B" w:rsidP="00D01BF8">
      <w:pPr>
        <w:pBdr>
          <w:top w:val="nil"/>
          <w:left w:val="nil"/>
          <w:bottom w:val="nil"/>
          <w:right w:val="nil"/>
          <w:between w:val="nil"/>
        </w:pBdr>
        <w:spacing w:after="0" w:line="240" w:lineRule="auto"/>
        <w:rPr>
          <w:rFonts w:ascii="Arial" w:eastAsia="Calibri" w:hAnsi="Arial" w:cs="Times New Roman (Body CS)"/>
          <w:color w:val="76C204"/>
          <w:kern w:val="0"/>
          <w:sz w:val="28"/>
          <w:szCs w:val="28"/>
          <w14:ligatures w14:val="none"/>
        </w:rPr>
      </w:pPr>
    </w:p>
    <w:p w14:paraId="5CC5DC7B" w14:textId="77777777" w:rsidR="00337A6B" w:rsidRDefault="00337A6B" w:rsidP="00D01BF8">
      <w:pPr>
        <w:pBdr>
          <w:top w:val="nil"/>
          <w:left w:val="nil"/>
          <w:bottom w:val="nil"/>
          <w:right w:val="nil"/>
          <w:between w:val="nil"/>
        </w:pBdr>
        <w:spacing w:after="0" w:line="240" w:lineRule="auto"/>
        <w:rPr>
          <w:rFonts w:ascii="Arial" w:eastAsia="Calibri" w:hAnsi="Arial" w:cs="Times New Roman (Body CS)"/>
          <w:color w:val="76C204"/>
          <w:kern w:val="0"/>
          <w:sz w:val="28"/>
          <w:szCs w:val="28"/>
          <w14:ligatures w14:val="none"/>
        </w:rPr>
      </w:pPr>
    </w:p>
    <w:p w14:paraId="299D62B9" w14:textId="77777777" w:rsidR="00337A6B" w:rsidRDefault="00337A6B" w:rsidP="00D01BF8">
      <w:pPr>
        <w:pBdr>
          <w:top w:val="nil"/>
          <w:left w:val="nil"/>
          <w:bottom w:val="nil"/>
          <w:right w:val="nil"/>
          <w:between w:val="nil"/>
        </w:pBdr>
        <w:spacing w:after="0" w:line="240" w:lineRule="auto"/>
        <w:rPr>
          <w:rFonts w:ascii="Arial" w:eastAsia="Calibri" w:hAnsi="Arial" w:cs="Times New Roman (Body CS)"/>
          <w:color w:val="76C204"/>
          <w:kern w:val="0"/>
          <w:sz w:val="28"/>
          <w:szCs w:val="28"/>
          <w14:ligatures w14:val="none"/>
        </w:rPr>
      </w:pPr>
    </w:p>
    <w:p w14:paraId="78876E2D" w14:textId="77777777" w:rsidR="00337A6B" w:rsidRDefault="00337A6B" w:rsidP="00D01BF8">
      <w:pPr>
        <w:pBdr>
          <w:top w:val="nil"/>
          <w:left w:val="nil"/>
          <w:bottom w:val="nil"/>
          <w:right w:val="nil"/>
          <w:between w:val="nil"/>
        </w:pBdr>
        <w:spacing w:after="0" w:line="240" w:lineRule="auto"/>
        <w:rPr>
          <w:rFonts w:ascii="Arial" w:eastAsia="Calibri" w:hAnsi="Arial" w:cs="Times New Roman (Body CS)"/>
          <w:color w:val="76C204"/>
          <w:kern w:val="0"/>
          <w:sz w:val="28"/>
          <w:szCs w:val="28"/>
          <w14:ligatures w14:val="none"/>
        </w:rPr>
      </w:pPr>
    </w:p>
    <w:p w14:paraId="114C68B1" w14:textId="77777777" w:rsidR="00337A6B" w:rsidRDefault="00337A6B" w:rsidP="00D01BF8">
      <w:pPr>
        <w:pBdr>
          <w:top w:val="nil"/>
          <w:left w:val="nil"/>
          <w:bottom w:val="nil"/>
          <w:right w:val="nil"/>
          <w:between w:val="nil"/>
        </w:pBdr>
        <w:spacing w:after="0" w:line="240" w:lineRule="auto"/>
        <w:rPr>
          <w:rFonts w:ascii="Arial" w:eastAsia="Calibri" w:hAnsi="Arial" w:cs="Times New Roman (Body CS)"/>
          <w:color w:val="76C204"/>
          <w:kern w:val="0"/>
          <w:sz w:val="28"/>
          <w:szCs w:val="28"/>
          <w14:ligatures w14:val="none"/>
        </w:rPr>
      </w:pPr>
    </w:p>
    <w:p w14:paraId="631E6483" w14:textId="77777777" w:rsidR="00337A6B" w:rsidRDefault="00337A6B" w:rsidP="00D01BF8">
      <w:pPr>
        <w:pBdr>
          <w:top w:val="nil"/>
          <w:left w:val="nil"/>
          <w:bottom w:val="nil"/>
          <w:right w:val="nil"/>
          <w:between w:val="nil"/>
        </w:pBdr>
        <w:spacing w:after="0" w:line="240" w:lineRule="auto"/>
        <w:rPr>
          <w:rFonts w:ascii="Arial" w:eastAsia="Calibri" w:hAnsi="Arial" w:cs="Times New Roman (Body CS)"/>
          <w:color w:val="76C204"/>
          <w:kern w:val="0"/>
          <w:sz w:val="28"/>
          <w:szCs w:val="28"/>
          <w14:ligatures w14:val="none"/>
        </w:rPr>
      </w:pPr>
    </w:p>
    <w:p w14:paraId="28E7A919" w14:textId="77777777" w:rsidR="00337A6B" w:rsidRDefault="00337A6B" w:rsidP="00D01BF8">
      <w:pPr>
        <w:pBdr>
          <w:top w:val="nil"/>
          <w:left w:val="nil"/>
          <w:bottom w:val="nil"/>
          <w:right w:val="nil"/>
          <w:between w:val="nil"/>
        </w:pBdr>
        <w:spacing w:after="0" w:line="240" w:lineRule="auto"/>
        <w:rPr>
          <w:rFonts w:ascii="Arial" w:eastAsia="Calibri" w:hAnsi="Arial" w:cs="Times New Roman (Body CS)"/>
          <w:color w:val="76C204"/>
          <w:kern w:val="0"/>
          <w:sz w:val="28"/>
          <w:szCs w:val="28"/>
          <w14:ligatures w14:val="none"/>
        </w:rPr>
      </w:pPr>
    </w:p>
    <w:p w14:paraId="20343DA8" w14:textId="77777777" w:rsidR="00337A6B" w:rsidRDefault="00337A6B" w:rsidP="00D01BF8">
      <w:pPr>
        <w:pBdr>
          <w:top w:val="nil"/>
          <w:left w:val="nil"/>
          <w:bottom w:val="nil"/>
          <w:right w:val="nil"/>
          <w:between w:val="nil"/>
        </w:pBdr>
        <w:spacing w:after="0" w:line="240" w:lineRule="auto"/>
        <w:rPr>
          <w:rFonts w:ascii="Arial" w:eastAsia="Calibri" w:hAnsi="Arial" w:cs="Times New Roman (Body CS)"/>
          <w:color w:val="76C204"/>
          <w:kern w:val="0"/>
          <w:sz w:val="28"/>
          <w:szCs w:val="28"/>
          <w14:ligatures w14:val="none"/>
        </w:rPr>
      </w:pPr>
    </w:p>
    <w:p w14:paraId="73C256CF" w14:textId="77777777" w:rsidR="00337A6B" w:rsidRDefault="00337A6B" w:rsidP="00D01BF8">
      <w:pPr>
        <w:pBdr>
          <w:top w:val="nil"/>
          <w:left w:val="nil"/>
          <w:bottom w:val="nil"/>
          <w:right w:val="nil"/>
          <w:between w:val="nil"/>
        </w:pBdr>
        <w:spacing w:after="0" w:line="240" w:lineRule="auto"/>
        <w:rPr>
          <w:rFonts w:ascii="Arial" w:eastAsia="Calibri" w:hAnsi="Arial" w:cs="Times New Roman (Body CS)"/>
          <w:color w:val="76C204"/>
          <w:kern w:val="0"/>
          <w:sz w:val="28"/>
          <w:szCs w:val="28"/>
          <w14:ligatures w14:val="none"/>
        </w:rPr>
      </w:pPr>
    </w:p>
    <w:p w14:paraId="0A531383" w14:textId="77777777" w:rsidR="00337A6B" w:rsidRDefault="00337A6B" w:rsidP="00D01BF8">
      <w:pPr>
        <w:pBdr>
          <w:top w:val="nil"/>
          <w:left w:val="nil"/>
          <w:bottom w:val="nil"/>
          <w:right w:val="nil"/>
          <w:between w:val="nil"/>
        </w:pBdr>
        <w:spacing w:after="0" w:line="240" w:lineRule="auto"/>
        <w:rPr>
          <w:rFonts w:ascii="Arial" w:eastAsia="Calibri" w:hAnsi="Arial" w:cs="Times New Roman (Body CS)"/>
          <w:color w:val="76C204"/>
          <w:kern w:val="0"/>
          <w:sz w:val="28"/>
          <w:szCs w:val="28"/>
          <w14:ligatures w14:val="none"/>
        </w:rPr>
      </w:pPr>
    </w:p>
    <w:p w14:paraId="616AC14D" w14:textId="77777777" w:rsidR="00337A6B" w:rsidRDefault="00337A6B" w:rsidP="00D01BF8">
      <w:pPr>
        <w:pBdr>
          <w:top w:val="nil"/>
          <w:left w:val="nil"/>
          <w:bottom w:val="nil"/>
          <w:right w:val="nil"/>
          <w:between w:val="nil"/>
        </w:pBdr>
        <w:spacing w:after="0" w:line="240" w:lineRule="auto"/>
        <w:rPr>
          <w:rFonts w:ascii="Arial" w:eastAsia="Calibri" w:hAnsi="Arial" w:cs="Times New Roman (Body CS)"/>
          <w:color w:val="76C204"/>
          <w:kern w:val="0"/>
          <w:sz w:val="28"/>
          <w:szCs w:val="28"/>
          <w14:ligatures w14:val="none"/>
        </w:rPr>
      </w:pPr>
    </w:p>
    <w:p w14:paraId="622BBD8A" w14:textId="77777777" w:rsidR="00337A6B" w:rsidRDefault="00337A6B" w:rsidP="00D01BF8">
      <w:pPr>
        <w:pBdr>
          <w:top w:val="nil"/>
          <w:left w:val="nil"/>
          <w:bottom w:val="nil"/>
          <w:right w:val="nil"/>
          <w:between w:val="nil"/>
        </w:pBdr>
        <w:spacing w:after="0" w:line="240" w:lineRule="auto"/>
        <w:rPr>
          <w:rFonts w:ascii="Arial" w:eastAsia="Calibri" w:hAnsi="Arial" w:cs="Times New Roman (Body CS)"/>
          <w:color w:val="76C204"/>
          <w:kern w:val="0"/>
          <w:sz w:val="28"/>
          <w:szCs w:val="28"/>
          <w14:ligatures w14:val="none"/>
        </w:rPr>
      </w:pPr>
    </w:p>
    <w:p w14:paraId="54167D70" w14:textId="77777777" w:rsidR="00337A6B" w:rsidRDefault="00337A6B" w:rsidP="00D01BF8">
      <w:pPr>
        <w:pBdr>
          <w:top w:val="nil"/>
          <w:left w:val="nil"/>
          <w:bottom w:val="nil"/>
          <w:right w:val="nil"/>
          <w:between w:val="nil"/>
        </w:pBdr>
        <w:spacing w:after="0" w:line="240" w:lineRule="auto"/>
        <w:rPr>
          <w:rFonts w:ascii="Arial" w:eastAsia="Calibri" w:hAnsi="Arial" w:cs="Times New Roman (Body CS)"/>
          <w:color w:val="76C204"/>
          <w:kern w:val="0"/>
          <w:sz w:val="28"/>
          <w:szCs w:val="28"/>
          <w14:ligatures w14:val="none"/>
        </w:rPr>
      </w:pPr>
    </w:p>
    <w:p w14:paraId="1165E9EA" w14:textId="2A998258" w:rsidR="00851E6A" w:rsidRDefault="00647E36" w:rsidP="00627086">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r>
        <w:rPr>
          <w:rFonts w:ascii="Arial" w:eastAsia="Calibri" w:hAnsi="Arial" w:cs="Times New Roman (Body CS)"/>
          <w:color w:val="76C204"/>
          <w:kern w:val="0"/>
          <w:sz w:val="28"/>
          <w:szCs w:val="28"/>
          <w14:ligatures w14:val="none"/>
        </w:rPr>
        <w:lastRenderedPageBreak/>
        <w:t xml:space="preserve">Performance </w:t>
      </w:r>
      <w:r w:rsidR="0033395B">
        <w:rPr>
          <w:rFonts w:ascii="Arial" w:eastAsia="Calibri" w:hAnsi="Arial" w:cs="Times New Roman (Body CS)"/>
          <w:color w:val="76C204"/>
          <w:kern w:val="0"/>
          <w:sz w:val="28"/>
          <w:szCs w:val="28"/>
          <w14:ligatures w14:val="none"/>
        </w:rPr>
        <w:t xml:space="preserve">– 31 July 2024 </w:t>
      </w:r>
    </w:p>
    <w:p w14:paraId="750B75B7" w14:textId="003C9CFA" w:rsidR="00627086" w:rsidRDefault="00311602" w:rsidP="00627086">
      <w:pPr>
        <w:pBdr>
          <w:top w:val="nil"/>
          <w:left w:val="nil"/>
          <w:bottom w:val="nil"/>
          <w:right w:val="nil"/>
          <w:between w:val="nil"/>
        </w:pBdr>
        <w:spacing w:after="0" w:line="240" w:lineRule="auto"/>
        <w:rPr>
          <w:rFonts w:eastAsia="Calibri" w:cs="Times New Roman"/>
          <w:color w:val="76C204"/>
          <w:sz w:val="28"/>
          <w:szCs w:val="28"/>
        </w:rPr>
      </w:pPr>
      <w:r w:rsidRPr="00311602">
        <w:rPr>
          <w:rFonts w:eastAsia="Calibri" w:cs="Times New Roman"/>
          <w:noProof/>
          <w:color w:val="76C204"/>
          <w:sz w:val="28"/>
          <w:szCs w:val="28"/>
        </w:rPr>
        <w:drawing>
          <wp:inline distT="0" distB="0" distL="0" distR="0" wp14:anchorId="305ECC08" wp14:editId="78B2821C">
            <wp:extent cx="5731510" cy="1389380"/>
            <wp:effectExtent l="0" t="0" r="2540" b="1270"/>
            <wp:docPr id="118881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14931" name=""/>
                    <pic:cNvPicPr/>
                  </pic:nvPicPr>
                  <pic:blipFill>
                    <a:blip r:embed="rId13"/>
                    <a:stretch>
                      <a:fillRect/>
                    </a:stretch>
                  </pic:blipFill>
                  <pic:spPr>
                    <a:xfrm>
                      <a:off x="0" y="0"/>
                      <a:ext cx="5731510" cy="1389380"/>
                    </a:xfrm>
                    <a:prstGeom prst="rect">
                      <a:avLst/>
                    </a:prstGeom>
                  </pic:spPr>
                </pic:pic>
              </a:graphicData>
            </a:graphic>
          </wp:inline>
        </w:drawing>
      </w:r>
    </w:p>
    <w:p w14:paraId="227D40EB" w14:textId="77777777" w:rsidR="00311602" w:rsidRPr="00627086" w:rsidRDefault="00311602" w:rsidP="00627086">
      <w:pPr>
        <w:pBdr>
          <w:top w:val="nil"/>
          <w:left w:val="nil"/>
          <w:bottom w:val="nil"/>
          <w:right w:val="nil"/>
          <w:between w:val="nil"/>
        </w:pBdr>
        <w:spacing w:after="0" w:line="240" w:lineRule="auto"/>
        <w:rPr>
          <w:rFonts w:eastAsia="Calibri" w:cs="Times New Roman"/>
          <w:color w:val="76C204"/>
          <w:sz w:val="28"/>
          <w:szCs w:val="28"/>
        </w:rPr>
      </w:pPr>
    </w:p>
    <w:p w14:paraId="04600625" w14:textId="77777777" w:rsidR="00D01BF8" w:rsidRDefault="00D01BF8" w:rsidP="00D01BF8">
      <w:pPr>
        <w:spacing w:after="120" w:line="276" w:lineRule="auto"/>
        <w:rPr>
          <w:rFonts w:ascii="Arial" w:eastAsia="Calibri" w:hAnsi="Arial" w:cs="Times New Roman (Body CS)"/>
          <w:color w:val="76C204"/>
          <w:kern w:val="0"/>
          <w:sz w:val="28"/>
          <w:szCs w:val="28"/>
          <w14:ligatures w14:val="none"/>
        </w:rPr>
      </w:pPr>
      <w:r>
        <w:rPr>
          <w:rFonts w:ascii="Arial" w:eastAsia="Calibri" w:hAnsi="Arial" w:cs="Times New Roman (Body CS)"/>
          <w:color w:val="76C204"/>
          <w:kern w:val="0"/>
          <w:sz w:val="28"/>
          <w:szCs w:val="28"/>
          <w14:ligatures w14:val="none"/>
        </w:rPr>
        <w:t>Performance Opinion</w:t>
      </w:r>
    </w:p>
    <w:p w14:paraId="39F36EEA" w14:textId="2EBB8A26" w:rsidR="00C249B3" w:rsidRPr="00C249B3" w:rsidRDefault="00C249B3" w:rsidP="00C249B3">
      <w:pPr>
        <w:spacing w:after="120" w:line="276" w:lineRule="auto"/>
        <w:rPr>
          <w:rFonts w:ascii="Arial" w:eastAsia="Arial" w:hAnsi="Arial" w:cs="Century Gothic Pro"/>
          <w:color w:val="64777E"/>
          <w:kern w:val="0"/>
          <w:sz w:val="18"/>
          <w:szCs w:val="18"/>
          <w14:ligatures w14:val="none"/>
        </w:rPr>
      </w:pPr>
      <w:r w:rsidRPr="00C249B3">
        <w:rPr>
          <w:rFonts w:ascii="Arial" w:eastAsia="Arial" w:hAnsi="Arial" w:cs="Century Gothic Pro"/>
          <w:color w:val="64777E"/>
          <w:kern w:val="0"/>
          <w:sz w:val="18"/>
          <w:szCs w:val="18"/>
          <w14:ligatures w14:val="none"/>
        </w:rPr>
        <w:t>The Fund's performance has faced considerable pressure, underperforming the benchmark by 5.3% over the 12 months to July 2024. This underperformance has been largely driven by the short side, which contributed over 6% in negative attribution. The Manager’s relatively small investment universe has limited their ability to effectively construct a meaningful short book.</w:t>
      </w:r>
    </w:p>
    <w:p w14:paraId="3FC8AB9D" w14:textId="4AF2DED3" w:rsidR="00D01BF8" w:rsidRDefault="00C249B3" w:rsidP="00C249B3">
      <w:pPr>
        <w:spacing w:after="120" w:line="276" w:lineRule="auto"/>
        <w:rPr>
          <w:rFonts w:ascii="Arial" w:eastAsia="Arial" w:hAnsi="Arial" w:cs="Century Gothic Pro"/>
          <w:color w:val="64777E"/>
          <w:kern w:val="0"/>
          <w:sz w:val="18"/>
          <w:szCs w:val="18"/>
          <w14:ligatures w14:val="none"/>
        </w:rPr>
      </w:pPr>
      <w:r w:rsidRPr="00C249B3">
        <w:rPr>
          <w:rFonts w:ascii="Arial" w:eastAsia="Arial" w:hAnsi="Arial" w:cs="Century Gothic Pro"/>
          <w:color w:val="64777E"/>
          <w:kern w:val="0"/>
          <w:sz w:val="18"/>
          <w:szCs w:val="18"/>
          <w14:ligatures w14:val="none"/>
        </w:rPr>
        <w:t>In theory, a long/short strategy should generate returns across market cycles, regardless of market direction. However, recent performance has exposed weaknesses in the strategy, particularly the Manager's constrained stock selection universe and the difficulty in swiftly exiting poorly performing short positions. This inability to adapt and rotate out of losing shorts has magnified the strategy's downside during periods of volatility, raising concerns about its resilience in dynamic market environments.</w:t>
      </w:r>
    </w:p>
    <w:p w14:paraId="4C9450E6" w14:textId="77777777" w:rsidR="00C249B3" w:rsidRDefault="00C249B3" w:rsidP="00C249B3">
      <w:pPr>
        <w:spacing w:after="120" w:line="276" w:lineRule="auto"/>
        <w:rPr>
          <w:rFonts w:ascii="Arial" w:eastAsia="Calibri" w:hAnsi="Arial" w:cs="Times New Roman (Body CS)"/>
          <w:color w:val="76C204"/>
          <w:kern w:val="0"/>
          <w:sz w:val="28"/>
          <w:szCs w:val="28"/>
          <w14:ligatures w14:val="none"/>
        </w:rPr>
      </w:pPr>
    </w:p>
    <w:p w14:paraId="106C8460" w14:textId="77777777" w:rsidR="00D01BF8" w:rsidRPr="006D3AFE" w:rsidRDefault="00D01BF8" w:rsidP="00D01BF8">
      <w:pPr>
        <w:spacing w:after="120" w:line="276" w:lineRule="auto"/>
        <w:rPr>
          <w:rFonts w:ascii="Arial" w:eastAsia="Calibri" w:hAnsi="Arial" w:cs="Times New Roman (Body CS)"/>
          <w:color w:val="76C204"/>
          <w:kern w:val="0"/>
          <w:sz w:val="28"/>
          <w:szCs w:val="28"/>
          <w14:ligatures w14:val="none"/>
        </w:rPr>
      </w:pPr>
      <w:r w:rsidRPr="006D3AFE">
        <w:rPr>
          <w:rFonts w:ascii="Arial" w:eastAsia="Calibri" w:hAnsi="Arial" w:cs="Times New Roman (Body CS)"/>
          <w:color w:val="76C204"/>
          <w:kern w:val="0"/>
          <w:sz w:val="28"/>
          <w:szCs w:val="28"/>
          <w14:ligatures w14:val="none"/>
        </w:rPr>
        <w:t>CONCLUSION</w:t>
      </w:r>
    </w:p>
    <w:p w14:paraId="368E8E64" w14:textId="78157331" w:rsidR="00D01BF8" w:rsidRDefault="00D01BF8" w:rsidP="00E147B4">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6D3AFE">
        <w:rPr>
          <w:rFonts w:ascii="Arial" w:eastAsia="Arial" w:hAnsi="Arial" w:cs="Minion Pro"/>
          <w:color w:val="64777E"/>
          <w:kern w:val="0"/>
          <w:sz w:val="18"/>
          <w:szCs w:val="18"/>
          <w:lang w:val="en-US"/>
          <w14:ligatures w14:val="none"/>
        </w:rPr>
        <w:t xml:space="preserve">The </w:t>
      </w:r>
      <w:r w:rsidR="00911151">
        <w:rPr>
          <w:rFonts w:ascii="Arial" w:eastAsia="Arial" w:hAnsi="Arial" w:cs="Minion Pro"/>
          <w:color w:val="64777E"/>
          <w:kern w:val="0"/>
          <w:sz w:val="18"/>
          <w:szCs w:val="18"/>
          <w:lang w:val="en-US"/>
          <w14:ligatures w14:val="none"/>
        </w:rPr>
        <w:t xml:space="preserve">Fund is lead by a highly capable CIO with support from a long co-tenured investment team. </w:t>
      </w:r>
      <w:r w:rsidR="000960CE">
        <w:rPr>
          <w:rFonts w:ascii="Arial" w:eastAsia="Arial" w:hAnsi="Arial" w:cs="Minion Pro"/>
          <w:color w:val="64777E"/>
          <w:kern w:val="0"/>
          <w:sz w:val="18"/>
          <w:szCs w:val="18"/>
          <w:lang w:val="en-US"/>
          <w14:ligatures w14:val="none"/>
        </w:rPr>
        <w:t xml:space="preserve">The team is small on a relative basis, however, the universe they cover is considered non-intensive and </w:t>
      </w:r>
      <w:r w:rsidR="00086625">
        <w:rPr>
          <w:rFonts w:ascii="Arial" w:eastAsia="Arial" w:hAnsi="Arial" w:cs="Minion Pro"/>
          <w:color w:val="64777E"/>
          <w:kern w:val="0"/>
          <w:sz w:val="18"/>
          <w:szCs w:val="18"/>
          <w:lang w:val="en-US"/>
          <w14:ligatures w14:val="none"/>
        </w:rPr>
        <w:t>manageable.</w:t>
      </w:r>
    </w:p>
    <w:p w14:paraId="5E4888D6" w14:textId="1239B91A" w:rsidR="00086625" w:rsidRDefault="00086625" w:rsidP="00E147B4">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color w:val="64777E"/>
          <w:kern w:val="0"/>
          <w:sz w:val="18"/>
          <w:szCs w:val="18"/>
          <w:lang w:val="en-US"/>
          <w14:ligatures w14:val="none"/>
        </w:rPr>
        <w:t xml:space="preserve">The process is pragmatic, repeatable and has been tested through time having been used since the early 2000s by its founders. </w:t>
      </w:r>
    </w:p>
    <w:p w14:paraId="5C10387F" w14:textId="5986B683" w:rsidR="00086625" w:rsidRDefault="00086625" w:rsidP="00E147B4">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color w:val="64777E"/>
          <w:kern w:val="0"/>
          <w:sz w:val="18"/>
          <w:szCs w:val="18"/>
          <w:lang w:val="en-US"/>
          <w14:ligatures w14:val="none"/>
        </w:rPr>
        <w:t xml:space="preserve">An area of concern revolves around the size of the universe to construct a meaningful, alpha generative short book. </w:t>
      </w:r>
      <w:r w:rsidR="00F0394B">
        <w:rPr>
          <w:rFonts w:ascii="Arial" w:eastAsia="Arial" w:hAnsi="Arial" w:cs="Minion Pro"/>
          <w:color w:val="64777E"/>
          <w:kern w:val="0"/>
          <w:sz w:val="18"/>
          <w:szCs w:val="18"/>
          <w:lang w:val="en-US"/>
          <w14:ligatures w14:val="none"/>
        </w:rPr>
        <w:t>O</w:t>
      </w:r>
      <w:r>
        <w:rPr>
          <w:rFonts w:ascii="Arial" w:eastAsia="Arial" w:hAnsi="Arial" w:cs="Minion Pro"/>
          <w:color w:val="64777E"/>
          <w:kern w:val="0"/>
          <w:sz w:val="18"/>
          <w:szCs w:val="18"/>
          <w:lang w:val="en-US"/>
          <w14:ligatures w14:val="none"/>
        </w:rPr>
        <w:t xml:space="preserve">nly 130 stocks </w:t>
      </w:r>
      <w:r w:rsidR="00F0394B">
        <w:rPr>
          <w:rFonts w:ascii="Arial" w:eastAsia="Arial" w:hAnsi="Arial" w:cs="Minion Pro"/>
          <w:color w:val="64777E"/>
          <w:kern w:val="0"/>
          <w:sz w:val="18"/>
          <w:szCs w:val="18"/>
          <w:lang w:val="en-US"/>
          <w14:ligatures w14:val="none"/>
        </w:rPr>
        <w:t>to construct a 50% short book is considered challenging.</w:t>
      </w:r>
    </w:p>
    <w:p w14:paraId="535FCAD6" w14:textId="790BB054" w:rsidR="00F0394B" w:rsidRDefault="009A6274" w:rsidP="00E147B4">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9A6274">
        <w:rPr>
          <w:rFonts w:ascii="Arial" w:eastAsia="Arial" w:hAnsi="Arial" w:cs="Minion Pro"/>
          <w:color w:val="64777E"/>
          <w:kern w:val="0"/>
          <w:sz w:val="18"/>
          <w:szCs w:val="18"/>
          <w:lang w:val="en-US"/>
          <w14:ligatures w14:val="none"/>
        </w:rPr>
        <w:t>The return here in the long run is going to come from the gearing on the long side and be biased to times where mid-caps will outperform.</w:t>
      </w:r>
    </w:p>
    <w:p w14:paraId="35A23F3B" w14:textId="36B2EBE5" w:rsidR="00E3487A" w:rsidRPr="00E3487A" w:rsidRDefault="00E3487A" w:rsidP="00E3487A">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color w:val="64777E"/>
          <w:kern w:val="0"/>
          <w:sz w:val="18"/>
          <w:szCs w:val="18"/>
          <w:lang w:val="en-US"/>
          <w14:ligatures w14:val="none"/>
        </w:rPr>
        <w:t xml:space="preserve">In future </w:t>
      </w:r>
      <w:r w:rsidR="008C5277">
        <w:rPr>
          <w:rFonts w:ascii="Arial" w:eastAsia="Arial" w:hAnsi="Arial" w:cs="Minion Pro"/>
          <w:color w:val="64777E"/>
          <w:kern w:val="0"/>
          <w:sz w:val="18"/>
          <w:szCs w:val="18"/>
          <w:lang w:val="en-US"/>
          <w14:ligatures w14:val="none"/>
        </w:rPr>
        <w:t>Atchison will need</w:t>
      </w:r>
      <w:r>
        <w:rPr>
          <w:rFonts w:ascii="Arial" w:eastAsia="Arial" w:hAnsi="Arial" w:cs="Minion Pro"/>
          <w:color w:val="64777E"/>
          <w:kern w:val="0"/>
          <w:sz w:val="18"/>
          <w:szCs w:val="18"/>
          <w:lang w:val="en-US"/>
          <w14:ligatures w14:val="none"/>
        </w:rPr>
        <w:t xml:space="preserve"> to a</w:t>
      </w:r>
      <w:r w:rsidRPr="00E3487A">
        <w:rPr>
          <w:rFonts w:ascii="Arial" w:eastAsia="Arial" w:hAnsi="Arial" w:cs="Minion Pro"/>
          <w:color w:val="64777E"/>
          <w:kern w:val="0"/>
          <w:sz w:val="18"/>
          <w:szCs w:val="18"/>
          <w:lang w:val="en-US"/>
          <w14:ligatures w14:val="none"/>
        </w:rPr>
        <w:t>ssess the growth in FUM of the Long only book vs the growth of the L/S book</w:t>
      </w:r>
      <w:r w:rsidR="008C5277">
        <w:rPr>
          <w:rFonts w:ascii="Arial" w:eastAsia="Arial" w:hAnsi="Arial" w:cs="Minion Pro"/>
          <w:color w:val="64777E"/>
          <w:kern w:val="0"/>
          <w:sz w:val="18"/>
          <w:szCs w:val="18"/>
          <w:lang w:val="en-US"/>
          <w14:ligatures w14:val="none"/>
        </w:rPr>
        <w:t>.</w:t>
      </w:r>
      <w:r>
        <w:rPr>
          <w:rFonts w:ascii="Arial" w:eastAsia="Arial" w:hAnsi="Arial" w:cs="Minion Pro"/>
          <w:color w:val="64777E"/>
          <w:kern w:val="0"/>
          <w:sz w:val="18"/>
          <w:szCs w:val="18"/>
          <w:lang w:val="en-US"/>
          <w14:ligatures w14:val="none"/>
        </w:rPr>
        <w:t xml:space="preserve"> </w:t>
      </w:r>
      <w:r w:rsidR="008C5277">
        <w:rPr>
          <w:rFonts w:ascii="Arial" w:eastAsia="Arial" w:hAnsi="Arial" w:cs="Minion Pro"/>
          <w:color w:val="64777E"/>
          <w:kern w:val="0"/>
          <w:sz w:val="18"/>
          <w:szCs w:val="18"/>
          <w:lang w:val="en-US"/>
          <w14:ligatures w14:val="none"/>
        </w:rPr>
        <w:t>This will shed light on</w:t>
      </w:r>
      <w:r w:rsidRPr="00E3487A">
        <w:rPr>
          <w:rFonts w:ascii="Arial" w:eastAsia="Arial" w:hAnsi="Arial" w:cs="Minion Pro"/>
          <w:color w:val="64777E"/>
          <w:kern w:val="0"/>
          <w:sz w:val="18"/>
          <w:szCs w:val="18"/>
          <w:lang w:val="en-US"/>
          <w14:ligatures w14:val="none"/>
        </w:rPr>
        <w:t xml:space="preserve"> how Montgomery is pushing the two products – </w:t>
      </w:r>
      <w:r w:rsidR="00C51AF6">
        <w:rPr>
          <w:rFonts w:ascii="Arial" w:eastAsia="Arial" w:hAnsi="Arial" w:cs="Minion Pro"/>
          <w:color w:val="64777E"/>
          <w:kern w:val="0"/>
          <w:sz w:val="18"/>
          <w:szCs w:val="18"/>
          <w:lang w:val="en-US"/>
          <w14:ligatures w14:val="none"/>
        </w:rPr>
        <w:t>Atchison believe</w:t>
      </w:r>
      <w:r w:rsidRPr="00E3487A">
        <w:rPr>
          <w:rFonts w:ascii="Arial" w:eastAsia="Arial" w:hAnsi="Arial" w:cs="Minion Pro"/>
          <w:color w:val="64777E"/>
          <w:kern w:val="0"/>
          <w:sz w:val="18"/>
          <w:szCs w:val="18"/>
          <w:lang w:val="en-US"/>
          <w14:ligatures w14:val="none"/>
        </w:rPr>
        <w:t xml:space="preserve"> Montgomery will </w:t>
      </w:r>
      <w:r w:rsidR="00C51AF6">
        <w:rPr>
          <w:rFonts w:ascii="Arial" w:eastAsia="Arial" w:hAnsi="Arial" w:cs="Minion Pro"/>
          <w:color w:val="64777E"/>
          <w:kern w:val="0"/>
          <w:sz w:val="18"/>
          <w:szCs w:val="18"/>
          <w:lang w:val="en-US"/>
          <w14:ligatures w14:val="none"/>
        </w:rPr>
        <w:t>place an emphasis on distributing the</w:t>
      </w:r>
      <w:r w:rsidRPr="00E3487A">
        <w:rPr>
          <w:rFonts w:ascii="Arial" w:eastAsia="Arial" w:hAnsi="Arial" w:cs="Minion Pro"/>
          <w:color w:val="64777E"/>
          <w:kern w:val="0"/>
          <w:sz w:val="18"/>
          <w:szCs w:val="18"/>
          <w:lang w:val="en-US"/>
          <w14:ligatures w14:val="none"/>
        </w:rPr>
        <w:t xml:space="preserve"> Long only </w:t>
      </w:r>
      <w:r>
        <w:rPr>
          <w:rFonts w:ascii="Arial" w:eastAsia="Arial" w:hAnsi="Arial" w:cs="Minion Pro"/>
          <w:color w:val="64777E"/>
          <w:kern w:val="0"/>
          <w:sz w:val="18"/>
          <w:szCs w:val="18"/>
          <w:lang w:val="en-US"/>
          <w14:ligatures w14:val="none"/>
        </w:rPr>
        <w:t xml:space="preserve">given it has their original client FUM. </w:t>
      </w:r>
    </w:p>
    <w:p w14:paraId="15F9522C" w14:textId="77777777" w:rsidR="00D01BF8" w:rsidRDefault="00D01BF8" w:rsidP="00D01BF8">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8D2232D" w14:textId="77777777" w:rsidR="00D01BF8" w:rsidRDefault="00D01BF8" w:rsidP="00D01BF8">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031E8984" w14:textId="77777777" w:rsidR="00D01BF8" w:rsidRDefault="00D01BF8" w:rsidP="00D01BF8">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458E4DD7" w14:textId="77777777" w:rsidR="00D01BF8" w:rsidRDefault="00D01BF8" w:rsidP="00D01BF8">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7F4D167B" w14:textId="77777777" w:rsidR="00D01BF8" w:rsidRDefault="00D01BF8" w:rsidP="00D01BF8">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4B647AAC" w14:textId="77777777" w:rsidR="00D01BF8" w:rsidRDefault="00D01BF8" w:rsidP="00D01BF8">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68C2FA6A" w14:textId="77777777" w:rsidR="00D01BF8" w:rsidRDefault="00D01BF8" w:rsidP="00D01BF8">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B0D9DDC" w14:textId="77777777" w:rsidR="00D01BF8" w:rsidRDefault="00D01BF8" w:rsidP="00D01BF8">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746DC33B" w14:textId="77777777" w:rsidR="00D01BF8" w:rsidRDefault="00D01BF8" w:rsidP="00D01BF8">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1E7A51F" w14:textId="77777777" w:rsidR="00D01BF8" w:rsidRDefault="00D01BF8" w:rsidP="00D01BF8">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EB66550" w14:textId="77777777" w:rsidR="00D01BF8" w:rsidRDefault="00D01BF8" w:rsidP="00D01BF8">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D67D76">
        <w:rPr>
          <w:noProof/>
        </w:rPr>
        <w:lastRenderedPageBreak/>
        <w:drawing>
          <wp:anchor distT="0" distB="0" distL="114300" distR="114300" simplePos="0" relativeHeight="251658241" behindDoc="0" locked="0" layoutInCell="1" allowOverlap="1" wp14:anchorId="1F354B19" wp14:editId="5A8EB394">
            <wp:simplePos x="0" y="0"/>
            <wp:positionH relativeFrom="page">
              <wp:align>left</wp:align>
            </wp:positionH>
            <wp:positionV relativeFrom="paragraph">
              <wp:posOffset>-914076</wp:posOffset>
            </wp:positionV>
            <wp:extent cx="7607300" cy="10928985"/>
            <wp:effectExtent l="0" t="0" r="0" b="5715"/>
            <wp:wrapNone/>
            <wp:docPr id="41" name="Picture 35" descr="A picture containing 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Picture 35" descr="A picture containing shape&#10;&#10;Description automatically generated"/>
                    <pic:cNvPicPr>
                      <a:picLocks noChangeArrowheads="1"/>
                    </pic:cNvPicPr>
                  </pic:nvPicPr>
                  <pic:blipFill>
                    <a:blip r:embed="rId14">
                      <a:extLst>
                        <a:ext uri="{28A0092B-C50C-407E-A947-70E740481C1C}">
                          <a14:useLocalDpi xmlns:a14="http://schemas.microsoft.com/office/drawing/2010/main" val="0"/>
                        </a:ext>
                      </a:extLst>
                    </a:blip>
                    <a:srcRect l="749" r="749"/>
                    <a:stretch>
                      <a:fillRect/>
                    </a:stretch>
                  </pic:blipFill>
                  <pic:spPr bwMode="auto">
                    <a:xfrm>
                      <a:off x="0" y="0"/>
                      <a:ext cx="7607300" cy="10928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5979BD" w14:textId="77777777" w:rsidR="00D01BF8" w:rsidRDefault="00D01BF8" w:rsidP="00D01BF8">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41A03308" w14:textId="77777777" w:rsidR="00D01BF8" w:rsidRDefault="00D01BF8" w:rsidP="00D01BF8">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9D29EE9" w14:textId="77777777" w:rsidR="00D01BF8" w:rsidRDefault="00D01BF8" w:rsidP="00D01BF8">
      <w:pPr>
        <w:pStyle w:val="BasicParagraph"/>
        <w:rPr>
          <w:sz w:val="22"/>
          <w:szCs w:val="22"/>
        </w:rPr>
      </w:pPr>
    </w:p>
    <w:p w14:paraId="602724CA" w14:textId="77777777" w:rsidR="00D01BF8" w:rsidRDefault="00D01BF8" w:rsidP="00D01BF8">
      <w:pPr>
        <w:pStyle w:val="BasicParagraph"/>
        <w:rPr>
          <w:sz w:val="22"/>
          <w:szCs w:val="22"/>
        </w:rPr>
      </w:pPr>
    </w:p>
    <w:p w14:paraId="58BB328C" w14:textId="77777777" w:rsidR="00D01BF8" w:rsidRDefault="00D01BF8" w:rsidP="00D01BF8">
      <w:pPr>
        <w:pStyle w:val="BasicParagraph"/>
        <w:rPr>
          <w:sz w:val="22"/>
          <w:szCs w:val="22"/>
        </w:rPr>
      </w:pPr>
    </w:p>
    <w:p w14:paraId="208F048C" w14:textId="77777777" w:rsidR="00D01BF8" w:rsidRDefault="00D01BF8" w:rsidP="00D01BF8">
      <w:pPr>
        <w:pStyle w:val="BasicParagraph"/>
        <w:rPr>
          <w:sz w:val="22"/>
          <w:szCs w:val="22"/>
        </w:rPr>
      </w:pPr>
    </w:p>
    <w:p w14:paraId="29AE209D" w14:textId="77777777" w:rsidR="00D01BF8" w:rsidRPr="00227DAB" w:rsidRDefault="00D01BF8" w:rsidP="00D01BF8">
      <w:pPr>
        <w:pStyle w:val="BasicParagraph"/>
        <w:rPr>
          <w:sz w:val="22"/>
          <w:szCs w:val="22"/>
        </w:rPr>
      </w:pPr>
      <w:r w:rsidRPr="00D67D76">
        <w:rPr>
          <w:rFonts w:cs="Arial"/>
          <w:noProof/>
        </w:rPr>
        <mc:AlternateContent>
          <mc:Choice Requires="wps">
            <w:drawing>
              <wp:anchor distT="0" distB="0" distL="114300" distR="114300" simplePos="0" relativeHeight="251658242" behindDoc="0" locked="0" layoutInCell="1" allowOverlap="1" wp14:anchorId="2F8C2921" wp14:editId="2F12B433">
                <wp:simplePos x="0" y="0"/>
                <wp:positionH relativeFrom="column">
                  <wp:posOffset>230029</wp:posOffset>
                </wp:positionH>
                <wp:positionV relativeFrom="paragraph">
                  <wp:posOffset>2180272</wp:posOffset>
                </wp:positionV>
                <wp:extent cx="3093244" cy="6807993"/>
                <wp:effectExtent l="0" t="0" r="1206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093244" cy="6807993"/>
                        </a:xfrm>
                        <a:prstGeom prst="rect">
                          <a:avLst/>
                        </a:prstGeom>
                        <a:noFill/>
                        <a:ln w="6350">
                          <a:noFill/>
                        </a:ln>
                      </wps:spPr>
                      <wps:txbx>
                        <w:txbxContent>
                          <w:p w14:paraId="76B7F935" w14:textId="77777777" w:rsidR="00D01BF8" w:rsidRPr="009853E5" w:rsidRDefault="00D01BF8" w:rsidP="00D01BF8">
                            <w:pPr>
                              <w:pStyle w:val="Atchison-Contactdetails"/>
                              <w:rPr>
                                <w:color w:val="92F105"/>
                              </w:rPr>
                            </w:pPr>
                            <w:r w:rsidRPr="009853E5">
                              <w:rPr>
                                <w:color w:val="92F105"/>
                              </w:rPr>
                              <w:t>Atchison Consultants</w:t>
                            </w:r>
                            <w:r w:rsidRPr="009853E5">
                              <w:rPr>
                                <w:color w:val="92F105"/>
                              </w:rPr>
                              <w:br/>
                            </w:r>
                            <w:r w:rsidRPr="009853E5">
                              <w:t xml:space="preserve">Level 4, 125 Flinders Lane, </w:t>
                            </w:r>
                            <w:r w:rsidRPr="009853E5">
                              <w:br/>
                              <w:t>Melbourne Vic 3000</w:t>
                            </w:r>
                          </w:p>
                          <w:p w14:paraId="0AE05B5F" w14:textId="77777777" w:rsidR="00D01BF8" w:rsidRPr="009853E5" w:rsidRDefault="00D01BF8" w:rsidP="00D01BF8">
                            <w:pPr>
                              <w:pStyle w:val="Atchison-Contactdetails"/>
                            </w:pPr>
                            <w:r w:rsidRPr="009853E5">
                              <w:t xml:space="preserve">P: +61 (0) 3 9642 3835 </w:t>
                            </w:r>
                            <w:r w:rsidRPr="009853E5">
                              <w:br/>
                              <w:t xml:space="preserve">enquiries@atchison.com.au       </w:t>
                            </w:r>
                            <w:r w:rsidRPr="009853E5">
                              <w:br/>
                            </w:r>
                            <w:hyperlink r:id="rId15" w:history="1">
                              <w:r w:rsidRPr="00705738">
                                <w:rPr>
                                  <w:rStyle w:val="Hyperlink"/>
                                  <w:bCs w:val="0"/>
                                  <w:color w:val="92D050"/>
                                </w:rPr>
                                <w:t xml:space="preserve">www.atchison.com.au </w:t>
                              </w:r>
                              <w:r w:rsidRPr="009853E5">
                                <w:rPr>
                                  <w:rStyle w:val="Hyperlink"/>
                                  <w:bCs w:val="0"/>
                                </w:rPr>
                                <w:t xml:space="preserve">   </w:t>
                              </w:r>
                            </w:hyperlink>
                            <w:r w:rsidRPr="009853E5">
                              <w:t xml:space="preserve"> </w:t>
                            </w:r>
                          </w:p>
                          <w:p w14:paraId="5C1DFB64" w14:textId="77777777" w:rsidR="00D01BF8" w:rsidRDefault="00D01BF8" w:rsidP="00D01BF8">
                            <w:pPr>
                              <w:pStyle w:val="Atchison-Contactdetails"/>
                            </w:pPr>
                            <w:r w:rsidRPr="009853E5">
                              <w:t xml:space="preserve">ABN: 58 097 703 047 </w:t>
                            </w:r>
                            <w:r w:rsidRPr="009853E5">
                              <w:br/>
                              <w:t>AFSL Number: 230846</w:t>
                            </w:r>
                          </w:p>
                          <w:p w14:paraId="3E60E48A" w14:textId="3A21211D" w:rsidR="00D01BF8" w:rsidRPr="00C249B3" w:rsidRDefault="00D01BF8" w:rsidP="00C249B3">
                            <w:pPr>
                              <w:pStyle w:val="Atchison-Contactdetails"/>
                              <w:rPr>
                                <w:rStyle w:val="Hyperlink"/>
                                <w:color w:val="FFFFFF"/>
                                <w:u w:val="none"/>
                              </w:rPr>
                            </w:pPr>
                            <w:r w:rsidRPr="009853E5">
                              <w:t xml:space="preserve">To obtain further information, </w:t>
                            </w:r>
                            <w:r w:rsidRPr="009853E5">
                              <w:br/>
                              <w:t xml:space="preserve">please contact: </w:t>
                            </w:r>
                            <w:r w:rsidR="00C249B3">
                              <w:rPr>
                                <w:rStyle w:val="Hyperlink"/>
                                <w:color w:val="92D050"/>
                              </w:rPr>
                              <w:t xml:space="preserve"> </w:t>
                            </w:r>
                          </w:p>
                          <w:p w14:paraId="262C45CC" w14:textId="77777777" w:rsidR="00D01BF8" w:rsidRDefault="00D01BF8" w:rsidP="00D01BF8">
                            <w:pPr>
                              <w:pStyle w:val="Atchison-Contactdetails"/>
                              <w:rPr>
                                <w:rStyle w:val="Hyperlink"/>
                                <w:color w:val="92D050"/>
                              </w:rPr>
                            </w:pPr>
                          </w:p>
                          <w:p w14:paraId="0B7E576A" w14:textId="77777777" w:rsidR="00D01BF8" w:rsidRDefault="00D01BF8" w:rsidP="00D01BF8">
                            <w:pPr>
                              <w:pStyle w:val="Atchison-Contactdetails"/>
                              <w:rPr>
                                <w:rStyle w:val="Hyperlink"/>
                              </w:rPr>
                            </w:pPr>
                            <w:r>
                              <w:rPr>
                                <w:b/>
                                <w:bCs w:val="0"/>
                                <w:i/>
                                <w:iCs/>
                                <w:color w:val="92F105"/>
                              </w:rPr>
                              <w:t>Nick Hatzis</w:t>
                            </w:r>
                          </w:p>
                          <w:p w14:paraId="08EC28BF" w14:textId="44EF0472" w:rsidR="00D01BF8" w:rsidRDefault="00C249B3" w:rsidP="00D01BF8">
                            <w:pPr>
                              <w:pStyle w:val="Atchison-Contactdetails"/>
                            </w:pPr>
                            <w:r>
                              <w:rPr>
                                <w:i/>
                                <w:iCs/>
                              </w:rPr>
                              <w:t xml:space="preserve">Investment </w:t>
                            </w:r>
                            <w:r w:rsidR="00D01BF8">
                              <w:rPr>
                                <w:i/>
                                <w:iCs/>
                              </w:rPr>
                              <w:t>Analyst</w:t>
                            </w:r>
                            <w:r w:rsidR="00D01BF8" w:rsidRPr="009853E5">
                              <w:br/>
                              <w:t xml:space="preserve">P: +61  </w:t>
                            </w:r>
                            <w:r w:rsidR="00D01BF8">
                              <w:t>433 717 504</w:t>
                            </w:r>
                          </w:p>
                          <w:p w14:paraId="66E3D371" w14:textId="77777777" w:rsidR="00D01BF8" w:rsidRDefault="00D01BF8" w:rsidP="00D01BF8">
                            <w:pPr>
                              <w:pStyle w:val="Atchison-Contactdetails"/>
                              <w:rPr>
                                <w:rStyle w:val="Hyperlink"/>
                                <w:color w:val="92D050"/>
                              </w:rPr>
                            </w:pPr>
                            <w:r w:rsidRPr="00A2189C">
                              <w:rPr>
                                <w:color w:val="E8E8E8" w:themeColor="background2"/>
                              </w:rPr>
                              <w:t>E</w:t>
                            </w:r>
                            <w:r w:rsidRPr="00A2189C">
                              <w:rPr>
                                <w:color w:val="92D050"/>
                              </w:rPr>
                              <w:t xml:space="preserve">: </w:t>
                            </w:r>
                            <w:hyperlink r:id="rId16" w:history="1">
                              <w:r w:rsidRPr="002920E4">
                                <w:rPr>
                                  <w:rStyle w:val="Hyperlink"/>
                                </w:rPr>
                                <w:t>nick@atchison.com.au</w:t>
                              </w:r>
                            </w:hyperlink>
                          </w:p>
                          <w:p w14:paraId="4D338EC3" w14:textId="77777777" w:rsidR="00D01BF8" w:rsidRDefault="00D01BF8" w:rsidP="00D01BF8">
                            <w:pPr>
                              <w:pStyle w:val="Atchison-Contactdetails"/>
                              <w:rPr>
                                <w:rStyle w:val="Hyperlink"/>
                              </w:rPr>
                            </w:pPr>
                          </w:p>
                          <w:p w14:paraId="4DF89A38" w14:textId="77777777" w:rsidR="00D01BF8" w:rsidRDefault="00D01BF8" w:rsidP="00D01BF8">
                            <w:pPr>
                              <w:pStyle w:val="Atchison-Contactdetails"/>
                              <w:rPr>
                                <w:rStyle w:val="Hyperlink"/>
                              </w:rPr>
                            </w:pPr>
                          </w:p>
                          <w:p w14:paraId="554125D7" w14:textId="77777777" w:rsidR="00D01BF8" w:rsidRPr="009853E5" w:rsidRDefault="00D01BF8" w:rsidP="00D01BF8">
                            <w:pPr>
                              <w:pStyle w:val="Atchison-Contactdetails"/>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8C2921" id="_x0000_t202" coordsize="21600,21600" o:spt="202" path="m,l,21600r21600,l21600,xe">
                <v:stroke joinstyle="miter"/>
                <v:path gradientshapeok="t" o:connecttype="rect"/>
              </v:shapetype>
              <v:shape id="Text Box 2" o:spid="_x0000_s1026" type="#_x0000_t202" style="position:absolute;margin-left:18.1pt;margin-top:171.65pt;width:243.55pt;height:536.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" filled="f" stroked="f" strokeweight=".5pt">
                <v:textbox inset="0,0,0,0">
                  <w:txbxContent>
                    <w:p w14:paraId="76B7F935" w14:textId="77777777" w:rsidR="00D01BF8" w:rsidRPr="009853E5" w:rsidRDefault="00D01BF8" w:rsidP="00D01BF8">
                      <w:pPr>
                        <w:pStyle w:val="Atchison-Contactdetails"/>
                        <w:rPr>
                          <w:color w:val="92F105"/>
                        </w:rPr>
                      </w:pPr>
                      <w:r w:rsidRPr="009853E5">
                        <w:rPr>
                          <w:color w:val="92F105"/>
                        </w:rPr>
                        <w:t>Atchison Consultants</w:t>
                      </w:r>
                      <w:r w:rsidRPr="009853E5">
                        <w:rPr>
                          <w:color w:val="92F105"/>
                        </w:rPr>
                        <w:br/>
                      </w:r>
                      <w:r w:rsidRPr="009853E5">
                        <w:t xml:space="preserve">Level 4, 125 Flinders Lane, </w:t>
                      </w:r>
                      <w:r w:rsidRPr="009853E5">
                        <w:br/>
                        <w:t>Melbourne Vic 3000</w:t>
                      </w:r>
                    </w:p>
                    <w:p w14:paraId="0AE05B5F" w14:textId="77777777" w:rsidR="00D01BF8" w:rsidRPr="009853E5" w:rsidRDefault="00D01BF8" w:rsidP="00D01BF8">
                      <w:pPr>
                        <w:pStyle w:val="Atchison-Contactdetails"/>
                      </w:pPr>
                      <w:r w:rsidRPr="009853E5">
                        <w:t xml:space="preserve">P: +61 (0) 3 9642 3835 </w:t>
                      </w:r>
                      <w:r w:rsidRPr="009853E5">
                        <w:br/>
                        <w:t xml:space="preserve">enquiries@atchison.com.au       </w:t>
                      </w:r>
                      <w:r w:rsidRPr="009853E5">
                        <w:br/>
                      </w:r>
                      <w:hyperlink r:id="rId17" w:history="1">
                        <w:r w:rsidRPr="00705738">
                          <w:rPr>
                            <w:rStyle w:val="Hyperlink"/>
                            <w:bCs w:val="0"/>
                            <w:color w:val="92D050"/>
                          </w:rPr>
                          <w:t xml:space="preserve">www.atchison.com.au </w:t>
                        </w:r>
                        <w:r w:rsidRPr="009853E5">
                          <w:rPr>
                            <w:rStyle w:val="Hyperlink"/>
                            <w:bCs w:val="0"/>
                          </w:rPr>
                          <w:t xml:space="preserve">   </w:t>
                        </w:r>
                      </w:hyperlink>
                      <w:r w:rsidRPr="009853E5">
                        <w:t xml:space="preserve"> </w:t>
                      </w:r>
                    </w:p>
                    <w:p w14:paraId="5C1DFB64" w14:textId="77777777" w:rsidR="00D01BF8" w:rsidRDefault="00D01BF8" w:rsidP="00D01BF8">
                      <w:pPr>
                        <w:pStyle w:val="Atchison-Contactdetails"/>
                      </w:pPr>
                      <w:r w:rsidRPr="009853E5">
                        <w:t xml:space="preserve">ABN: 58 097 703 047 </w:t>
                      </w:r>
                      <w:r w:rsidRPr="009853E5">
                        <w:br/>
                        <w:t>AFSL Number: 230846</w:t>
                      </w:r>
                    </w:p>
                    <w:p w14:paraId="3E60E48A" w14:textId="3A21211D" w:rsidR="00D01BF8" w:rsidRPr="00C249B3" w:rsidRDefault="00D01BF8" w:rsidP="00C249B3">
                      <w:pPr>
                        <w:pStyle w:val="Atchison-Contactdetails"/>
                        <w:rPr>
                          <w:rStyle w:val="Hyperlink"/>
                          <w:color w:val="FFFFFF"/>
                          <w:u w:val="none"/>
                        </w:rPr>
                      </w:pPr>
                      <w:r w:rsidRPr="009853E5">
                        <w:t xml:space="preserve">To obtain further information, </w:t>
                      </w:r>
                      <w:r w:rsidRPr="009853E5">
                        <w:br/>
                        <w:t xml:space="preserve">please contact: </w:t>
                      </w:r>
                      <w:r w:rsidR="00C249B3">
                        <w:rPr>
                          <w:rStyle w:val="Hyperlink"/>
                          <w:color w:val="92D050"/>
                        </w:rPr>
                        <w:t xml:space="preserve"> </w:t>
                      </w:r>
                    </w:p>
                    <w:p w14:paraId="262C45CC" w14:textId="77777777" w:rsidR="00D01BF8" w:rsidRDefault="00D01BF8" w:rsidP="00D01BF8">
                      <w:pPr>
                        <w:pStyle w:val="Atchison-Contactdetails"/>
                        <w:rPr>
                          <w:rStyle w:val="Hyperlink"/>
                          <w:color w:val="92D050"/>
                        </w:rPr>
                      </w:pPr>
                    </w:p>
                    <w:p w14:paraId="0B7E576A" w14:textId="77777777" w:rsidR="00D01BF8" w:rsidRDefault="00D01BF8" w:rsidP="00D01BF8">
                      <w:pPr>
                        <w:pStyle w:val="Atchison-Contactdetails"/>
                        <w:rPr>
                          <w:rStyle w:val="Hyperlink"/>
                        </w:rPr>
                      </w:pPr>
                      <w:r>
                        <w:rPr>
                          <w:b/>
                          <w:bCs w:val="0"/>
                          <w:i/>
                          <w:iCs/>
                          <w:color w:val="92F105"/>
                        </w:rPr>
                        <w:t>Nick Hatzis</w:t>
                      </w:r>
                    </w:p>
                    <w:p w14:paraId="08EC28BF" w14:textId="44EF0472" w:rsidR="00D01BF8" w:rsidRDefault="00C249B3" w:rsidP="00D01BF8">
                      <w:pPr>
                        <w:pStyle w:val="Atchison-Contactdetails"/>
                      </w:pPr>
                      <w:r>
                        <w:rPr>
                          <w:i/>
                          <w:iCs/>
                        </w:rPr>
                        <w:t xml:space="preserve">Investment </w:t>
                      </w:r>
                      <w:r w:rsidR="00D01BF8">
                        <w:rPr>
                          <w:i/>
                          <w:iCs/>
                        </w:rPr>
                        <w:t>Analyst</w:t>
                      </w:r>
                      <w:r w:rsidR="00D01BF8" w:rsidRPr="009853E5">
                        <w:br/>
                        <w:t xml:space="preserve">P: +61  </w:t>
                      </w:r>
                      <w:r w:rsidR="00D01BF8">
                        <w:t>433 717 504</w:t>
                      </w:r>
                    </w:p>
                    <w:p w14:paraId="66E3D371" w14:textId="77777777" w:rsidR="00D01BF8" w:rsidRDefault="00D01BF8" w:rsidP="00D01BF8">
                      <w:pPr>
                        <w:pStyle w:val="Atchison-Contactdetails"/>
                        <w:rPr>
                          <w:rStyle w:val="Hyperlink"/>
                          <w:color w:val="92D050"/>
                        </w:rPr>
                      </w:pPr>
                      <w:r w:rsidRPr="00A2189C">
                        <w:rPr>
                          <w:color w:val="E8E8E8" w:themeColor="background2"/>
                        </w:rPr>
                        <w:t>E</w:t>
                      </w:r>
                      <w:r w:rsidRPr="00A2189C">
                        <w:rPr>
                          <w:color w:val="92D050"/>
                        </w:rPr>
                        <w:t xml:space="preserve">: </w:t>
                      </w:r>
                      <w:hyperlink r:id="rId18" w:history="1">
                        <w:r w:rsidRPr="002920E4">
                          <w:rPr>
                            <w:rStyle w:val="Hyperlink"/>
                          </w:rPr>
                          <w:t>nick@atchison.com.au</w:t>
                        </w:r>
                      </w:hyperlink>
                    </w:p>
                    <w:p w14:paraId="4D338EC3" w14:textId="77777777" w:rsidR="00D01BF8" w:rsidRDefault="00D01BF8" w:rsidP="00D01BF8">
                      <w:pPr>
                        <w:pStyle w:val="Atchison-Contactdetails"/>
                        <w:rPr>
                          <w:rStyle w:val="Hyperlink"/>
                        </w:rPr>
                      </w:pPr>
                    </w:p>
                    <w:p w14:paraId="4DF89A38" w14:textId="77777777" w:rsidR="00D01BF8" w:rsidRDefault="00D01BF8" w:rsidP="00D01BF8">
                      <w:pPr>
                        <w:pStyle w:val="Atchison-Contactdetails"/>
                        <w:rPr>
                          <w:rStyle w:val="Hyperlink"/>
                        </w:rPr>
                      </w:pPr>
                    </w:p>
                    <w:p w14:paraId="554125D7" w14:textId="77777777" w:rsidR="00D01BF8" w:rsidRPr="009853E5" w:rsidRDefault="00D01BF8" w:rsidP="00D01BF8">
                      <w:pPr>
                        <w:pStyle w:val="Atchison-Contactdetails"/>
                      </w:pPr>
                    </w:p>
                  </w:txbxContent>
                </v:textbox>
              </v:shape>
            </w:pict>
          </mc:Fallback>
        </mc:AlternateContent>
      </w:r>
    </w:p>
    <w:p w14:paraId="1825F1E4" w14:textId="77777777" w:rsidR="00D01BF8" w:rsidRPr="009A7328" w:rsidRDefault="00D01BF8" w:rsidP="00D01BF8">
      <w:pPr>
        <w:autoSpaceDE w:val="0"/>
        <w:autoSpaceDN w:val="0"/>
        <w:adjustRightInd w:val="0"/>
        <w:spacing w:after="100" w:line="276" w:lineRule="auto"/>
        <w:textAlignment w:val="center"/>
        <w:rPr>
          <w:rStyle w:val="normaltextrun"/>
          <w:rFonts w:ascii="Arial" w:eastAsia="Arial" w:hAnsi="Arial" w:cs="Minion Pro"/>
          <w:color w:val="64777E"/>
          <w:kern w:val="0"/>
          <w:sz w:val="18"/>
          <w:szCs w:val="18"/>
          <w:lang w:val="en-US"/>
          <w14:ligatures w14:val="none"/>
        </w:rPr>
      </w:pPr>
    </w:p>
    <w:p w14:paraId="50632DD5" w14:textId="77777777" w:rsidR="00183A58" w:rsidRDefault="00183A58"/>
    <w:sectPr w:rsidR="00183A58">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52D11" w14:textId="77777777" w:rsidR="00C807A8" w:rsidRDefault="00C807A8" w:rsidP="00D01BF8">
      <w:pPr>
        <w:spacing w:after="0" w:line="240" w:lineRule="auto"/>
      </w:pPr>
      <w:r>
        <w:separator/>
      </w:r>
    </w:p>
  </w:endnote>
  <w:endnote w:type="continuationSeparator" w:id="0">
    <w:p w14:paraId="3A328DCF" w14:textId="77777777" w:rsidR="00C807A8" w:rsidRDefault="00C807A8" w:rsidP="00D01BF8">
      <w:pPr>
        <w:spacing w:after="0" w:line="240" w:lineRule="auto"/>
      </w:pPr>
      <w:r>
        <w:continuationSeparator/>
      </w:r>
    </w:p>
  </w:endnote>
  <w:endnote w:type="continuationNotice" w:id="1">
    <w:p w14:paraId="35A834DF" w14:textId="77777777" w:rsidR="00C807A8" w:rsidRDefault="00C807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entury Gothic Pro">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A7D62" w14:textId="77777777" w:rsidR="00A36914" w:rsidRDefault="00A36914" w:rsidP="00A36914">
    <w:pPr>
      <w:pStyle w:val="Footer"/>
    </w:pPr>
    <w:r w:rsidRPr="00A36914">
      <w:t xml:space="preserve">    </w:t>
    </w:r>
    <w:r>
      <w:rPr>
        <w:rStyle w:val="wacimagecontainer"/>
        <w:rFonts w:ascii="Segoe UI" w:hAnsi="Segoe UI" w:cs="Segoe UI"/>
        <w:noProof/>
        <w:color w:val="4A585E"/>
        <w:sz w:val="12"/>
        <w:szCs w:val="12"/>
      </w:rPr>
      <w:drawing>
        <wp:inline distT="0" distB="0" distL="0" distR="0" wp14:anchorId="3878D12C" wp14:editId="0DFD65F2">
          <wp:extent cx="1595120" cy="520700"/>
          <wp:effectExtent l="0" t="0" r="0" b="0"/>
          <wp:docPr id="14" name="Picture 12"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 Bo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120" cy="520700"/>
                  </a:xfrm>
                  <a:prstGeom prst="rect">
                    <a:avLst/>
                  </a:prstGeom>
                  <a:noFill/>
                  <a:ln>
                    <a:noFill/>
                  </a:ln>
                </pic:spPr>
              </pic:pic>
            </a:graphicData>
          </a:graphic>
        </wp:inline>
      </w:drawing>
    </w:r>
    <w:r>
      <w:rPr>
        <w:rStyle w:val="wacimagecontainer"/>
        <w:rFonts w:ascii="Segoe UI" w:hAnsi="Segoe UI" w:cs="Segoe UI"/>
        <w:noProof/>
        <w:color w:val="4A585E"/>
        <w:sz w:val="12"/>
        <w:szCs w:val="12"/>
        <w:shd w:val="clear" w:color="auto" w:fill="FFFFFF"/>
      </w:rPr>
      <w:drawing>
        <wp:inline distT="0" distB="0" distL="0" distR="0" wp14:anchorId="4D3CAA0A" wp14:editId="2B541328">
          <wp:extent cx="1595120" cy="520700"/>
          <wp:effectExtent l="0" t="0" r="0" b="0"/>
          <wp:docPr id="15" name="Picture 1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t Bo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5120" cy="520700"/>
                  </a:xfrm>
                  <a:prstGeom prst="rect">
                    <a:avLst/>
                  </a:prstGeom>
                  <a:noFill/>
                  <a:ln>
                    <a:noFill/>
                  </a:ln>
                </pic:spPr>
              </pic:pic>
            </a:graphicData>
          </a:graphic>
        </wp:inline>
      </w:drawing>
    </w:r>
    <w:r>
      <w:rPr>
        <w:rStyle w:val="wacimagecontainer"/>
        <w:rFonts w:ascii="Segoe UI" w:hAnsi="Segoe UI" w:cs="Segoe UI"/>
        <w:noProof/>
        <w:color w:val="4A585E"/>
        <w:sz w:val="12"/>
        <w:szCs w:val="12"/>
        <w:shd w:val="clear" w:color="auto" w:fill="FFFFFF"/>
      </w:rPr>
      <w:drawing>
        <wp:inline distT="0" distB="0" distL="0" distR="0" wp14:anchorId="536FB0FC" wp14:editId="7EE58A03">
          <wp:extent cx="1595120" cy="520700"/>
          <wp:effectExtent l="0" t="0" r="0" b="0"/>
          <wp:docPr id="16" name="Picture 10"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 Bo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95120" cy="520700"/>
                  </a:xfrm>
                  <a:prstGeom prst="rect">
                    <a:avLst/>
                  </a:prstGeom>
                  <a:noFill/>
                  <a:ln>
                    <a:noFill/>
                  </a:ln>
                </pic:spPr>
              </pic:pic>
            </a:graphicData>
          </a:graphic>
        </wp:inline>
      </w:drawing>
    </w:r>
    <w:r>
      <w:rPr>
        <w:rStyle w:val="wacimagecontainer"/>
        <w:rFonts w:ascii="Segoe UI" w:hAnsi="Segoe UI" w:cs="Segoe UI"/>
        <w:noProof/>
        <w:color w:val="4A585E"/>
        <w:sz w:val="12"/>
        <w:szCs w:val="12"/>
        <w:shd w:val="clear" w:color="auto" w:fill="FFFFFF"/>
      </w:rPr>
      <w:drawing>
        <wp:inline distT="0" distB="0" distL="0" distR="0" wp14:anchorId="46EC8675" wp14:editId="7AEF0999">
          <wp:extent cx="10795" cy="10795"/>
          <wp:effectExtent l="0" t="0" r="0" b="0"/>
          <wp:docPr id="17" name="Picture 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4D0F6DDC" w14:textId="52F913C8" w:rsidR="00A36914" w:rsidRDefault="00A36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9711D" w14:textId="77777777" w:rsidR="00C807A8" w:rsidRDefault="00C807A8" w:rsidP="00D01BF8">
      <w:pPr>
        <w:spacing w:after="0" w:line="240" w:lineRule="auto"/>
      </w:pPr>
      <w:r>
        <w:separator/>
      </w:r>
    </w:p>
  </w:footnote>
  <w:footnote w:type="continuationSeparator" w:id="0">
    <w:p w14:paraId="7CE7F98A" w14:textId="77777777" w:rsidR="00C807A8" w:rsidRDefault="00C807A8" w:rsidP="00D01BF8">
      <w:pPr>
        <w:spacing w:after="0" w:line="240" w:lineRule="auto"/>
      </w:pPr>
      <w:r>
        <w:continuationSeparator/>
      </w:r>
    </w:p>
  </w:footnote>
  <w:footnote w:type="continuationNotice" w:id="1">
    <w:p w14:paraId="12832798" w14:textId="77777777" w:rsidR="00C807A8" w:rsidRDefault="00C807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CDCF5" w14:textId="3D21587A" w:rsidR="00D01BF8" w:rsidRDefault="00D01B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D2C97"/>
    <w:multiLevelType w:val="hybridMultilevel"/>
    <w:tmpl w:val="3CAE4950"/>
    <w:lvl w:ilvl="0" w:tplc="D298C35E">
      <w:start w:val="1"/>
      <w:numFmt w:val="bullet"/>
      <w:lvlText w:val=""/>
      <w:lvlJc w:val="left"/>
      <w:pPr>
        <w:ind w:left="720" w:hanging="360"/>
      </w:pPr>
      <w:rPr>
        <w:rFonts w:ascii="Symbol" w:hAnsi="Symbol" w:hint="default"/>
        <w:color w:val="79BB42"/>
        <w:sz w:val="16"/>
        <w:u w:color="8A999D"/>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5D42B92"/>
    <w:multiLevelType w:val="hybridMultilevel"/>
    <w:tmpl w:val="E9DC2D96"/>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12901539">
    <w:abstractNumId w:val="1"/>
  </w:num>
  <w:num w:numId="2" w16cid:durableId="28797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D01BF8"/>
    <w:rsid w:val="000017DB"/>
    <w:rsid w:val="00004B90"/>
    <w:rsid w:val="000429F7"/>
    <w:rsid w:val="00064727"/>
    <w:rsid w:val="00083A9C"/>
    <w:rsid w:val="00086625"/>
    <w:rsid w:val="000960CE"/>
    <w:rsid w:val="00097615"/>
    <w:rsid w:val="000A7203"/>
    <w:rsid w:val="00183A58"/>
    <w:rsid w:val="00196945"/>
    <w:rsid w:val="001D6365"/>
    <w:rsid w:val="001E3148"/>
    <w:rsid w:val="001E3586"/>
    <w:rsid w:val="001E678D"/>
    <w:rsid w:val="001F02B2"/>
    <w:rsid w:val="001F5ABE"/>
    <w:rsid w:val="002111EA"/>
    <w:rsid w:val="002120B2"/>
    <w:rsid w:val="002318DF"/>
    <w:rsid w:val="00260554"/>
    <w:rsid w:val="00285456"/>
    <w:rsid w:val="002C23E6"/>
    <w:rsid w:val="002E48BC"/>
    <w:rsid w:val="002F69CC"/>
    <w:rsid w:val="00301453"/>
    <w:rsid w:val="003034C9"/>
    <w:rsid w:val="00311602"/>
    <w:rsid w:val="0033395B"/>
    <w:rsid w:val="00337A6B"/>
    <w:rsid w:val="003763B0"/>
    <w:rsid w:val="00387A4D"/>
    <w:rsid w:val="00391B6C"/>
    <w:rsid w:val="003C1731"/>
    <w:rsid w:val="003C559F"/>
    <w:rsid w:val="003D0C5E"/>
    <w:rsid w:val="003D44F3"/>
    <w:rsid w:val="003E11BF"/>
    <w:rsid w:val="0042063B"/>
    <w:rsid w:val="004275B1"/>
    <w:rsid w:val="00434445"/>
    <w:rsid w:val="0046106A"/>
    <w:rsid w:val="00461C7E"/>
    <w:rsid w:val="00466317"/>
    <w:rsid w:val="00491884"/>
    <w:rsid w:val="004C001F"/>
    <w:rsid w:val="004D7B21"/>
    <w:rsid w:val="005048A5"/>
    <w:rsid w:val="00515BB1"/>
    <w:rsid w:val="00522D56"/>
    <w:rsid w:val="005A2ED6"/>
    <w:rsid w:val="005F0976"/>
    <w:rsid w:val="00625E59"/>
    <w:rsid w:val="00627086"/>
    <w:rsid w:val="006434AD"/>
    <w:rsid w:val="00647E36"/>
    <w:rsid w:val="00651CAB"/>
    <w:rsid w:val="006536A0"/>
    <w:rsid w:val="0066250D"/>
    <w:rsid w:val="0067553B"/>
    <w:rsid w:val="00682AC9"/>
    <w:rsid w:val="006B4882"/>
    <w:rsid w:val="006C5E13"/>
    <w:rsid w:val="006D1FDD"/>
    <w:rsid w:val="006F6157"/>
    <w:rsid w:val="006F7569"/>
    <w:rsid w:val="00733246"/>
    <w:rsid w:val="007419F1"/>
    <w:rsid w:val="00753AEF"/>
    <w:rsid w:val="00790087"/>
    <w:rsid w:val="00795EBD"/>
    <w:rsid w:val="007970FC"/>
    <w:rsid w:val="007F4443"/>
    <w:rsid w:val="0082099B"/>
    <w:rsid w:val="00844B40"/>
    <w:rsid w:val="00851E6A"/>
    <w:rsid w:val="00855455"/>
    <w:rsid w:val="0086156B"/>
    <w:rsid w:val="00866E3C"/>
    <w:rsid w:val="00872D95"/>
    <w:rsid w:val="00873BC0"/>
    <w:rsid w:val="00894F01"/>
    <w:rsid w:val="0089726C"/>
    <w:rsid w:val="00897BDD"/>
    <w:rsid w:val="008C3497"/>
    <w:rsid w:val="008C5277"/>
    <w:rsid w:val="008D572A"/>
    <w:rsid w:val="008F7DB5"/>
    <w:rsid w:val="00903B48"/>
    <w:rsid w:val="00911151"/>
    <w:rsid w:val="0096354D"/>
    <w:rsid w:val="009823E9"/>
    <w:rsid w:val="009A6274"/>
    <w:rsid w:val="009C4BF2"/>
    <w:rsid w:val="00A02AFA"/>
    <w:rsid w:val="00A36914"/>
    <w:rsid w:val="00A54163"/>
    <w:rsid w:val="00A54A93"/>
    <w:rsid w:val="00A636EB"/>
    <w:rsid w:val="00AA0AB0"/>
    <w:rsid w:val="00AE09CC"/>
    <w:rsid w:val="00B24553"/>
    <w:rsid w:val="00B27BB8"/>
    <w:rsid w:val="00B3325E"/>
    <w:rsid w:val="00B37CF9"/>
    <w:rsid w:val="00B4731A"/>
    <w:rsid w:val="00B83743"/>
    <w:rsid w:val="00B8490D"/>
    <w:rsid w:val="00BA1BA3"/>
    <w:rsid w:val="00BB5F1D"/>
    <w:rsid w:val="00C249B3"/>
    <w:rsid w:val="00C51AF6"/>
    <w:rsid w:val="00C64F0C"/>
    <w:rsid w:val="00C71C55"/>
    <w:rsid w:val="00C730D8"/>
    <w:rsid w:val="00C807A8"/>
    <w:rsid w:val="00C95F62"/>
    <w:rsid w:val="00CA115B"/>
    <w:rsid w:val="00CB1BB8"/>
    <w:rsid w:val="00CD534B"/>
    <w:rsid w:val="00CE3568"/>
    <w:rsid w:val="00CF513A"/>
    <w:rsid w:val="00D01BF8"/>
    <w:rsid w:val="00D33231"/>
    <w:rsid w:val="00D401C6"/>
    <w:rsid w:val="00D440DD"/>
    <w:rsid w:val="00DD512E"/>
    <w:rsid w:val="00DE2505"/>
    <w:rsid w:val="00E147B4"/>
    <w:rsid w:val="00E15F12"/>
    <w:rsid w:val="00E3487A"/>
    <w:rsid w:val="00E757C0"/>
    <w:rsid w:val="00E848EF"/>
    <w:rsid w:val="00E878F1"/>
    <w:rsid w:val="00EA57CB"/>
    <w:rsid w:val="00EC44EC"/>
    <w:rsid w:val="00ED0AF6"/>
    <w:rsid w:val="00F0394B"/>
    <w:rsid w:val="00F05517"/>
    <w:rsid w:val="00F14D0C"/>
    <w:rsid w:val="00F63EEA"/>
    <w:rsid w:val="00FC20E8"/>
    <w:rsid w:val="00FE3C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2CAB"/>
  <w15:chartTrackingRefBased/>
  <w15:docId w15:val="{A67DB1C5-1580-4DFB-91AF-0DC0131B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F8"/>
  </w:style>
  <w:style w:type="paragraph" w:styleId="Heading1">
    <w:name w:val="heading 1"/>
    <w:basedOn w:val="Normal"/>
    <w:next w:val="Normal"/>
    <w:link w:val="Heading1Char"/>
    <w:uiPriority w:val="9"/>
    <w:qFormat/>
    <w:rsid w:val="00D01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BF8"/>
    <w:rPr>
      <w:rFonts w:eastAsiaTheme="majorEastAsia" w:cstheme="majorBidi"/>
      <w:color w:val="272727" w:themeColor="text1" w:themeTint="D8"/>
    </w:rPr>
  </w:style>
  <w:style w:type="paragraph" w:styleId="Title">
    <w:name w:val="Title"/>
    <w:basedOn w:val="Normal"/>
    <w:next w:val="Normal"/>
    <w:link w:val="TitleChar"/>
    <w:uiPriority w:val="10"/>
    <w:qFormat/>
    <w:rsid w:val="00D01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BF8"/>
    <w:pPr>
      <w:spacing w:before="160"/>
      <w:jc w:val="center"/>
    </w:pPr>
    <w:rPr>
      <w:i/>
      <w:iCs/>
      <w:color w:val="404040" w:themeColor="text1" w:themeTint="BF"/>
    </w:rPr>
  </w:style>
  <w:style w:type="character" w:customStyle="1" w:styleId="QuoteChar">
    <w:name w:val="Quote Char"/>
    <w:basedOn w:val="DefaultParagraphFont"/>
    <w:link w:val="Quote"/>
    <w:uiPriority w:val="29"/>
    <w:rsid w:val="00D01BF8"/>
    <w:rPr>
      <w:i/>
      <w:iCs/>
      <w:color w:val="404040" w:themeColor="text1" w:themeTint="BF"/>
    </w:rPr>
  </w:style>
  <w:style w:type="paragraph" w:styleId="ListParagraph">
    <w:name w:val="List Paragraph"/>
    <w:basedOn w:val="Normal"/>
    <w:uiPriority w:val="34"/>
    <w:qFormat/>
    <w:rsid w:val="00D01BF8"/>
    <w:pPr>
      <w:ind w:left="720"/>
      <w:contextualSpacing/>
    </w:pPr>
  </w:style>
  <w:style w:type="character" w:styleId="IntenseEmphasis">
    <w:name w:val="Intense Emphasis"/>
    <w:basedOn w:val="DefaultParagraphFont"/>
    <w:uiPriority w:val="21"/>
    <w:qFormat/>
    <w:rsid w:val="00D01BF8"/>
    <w:rPr>
      <w:i/>
      <w:iCs/>
      <w:color w:val="0F4761" w:themeColor="accent1" w:themeShade="BF"/>
    </w:rPr>
  </w:style>
  <w:style w:type="paragraph" w:styleId="IntenseQuote">
    <w:name w:val="Intense Quote"/>
    <w:basedOn w:val="Normal"/>
    <w:next w:val="Normal"/>
    <w:link w:val="IntenseQuoteChar"/>
    <w:uiPriority w:val="30"/>
    <w:qFormat/>
    <w:rsid w:val="00D01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BF8"/>
    <w:rPr>
      <w:i/>
      <w:iCs/>
      <w:color w:val="0F4761" w:themeColor="accent1" w:themeShade="BF"/>
    </w:rPr>
  </w:style>
  <w:style w:type="character" w:styleId="IntenseReference">
    <w:name w:val="Intense Reference"/>
    <w:basedOn w:val="DefaultParagraphFont"/>
    <w:uiPriority w:val="32"/>
    <w:qFormat/>
    <w:rsid w:val="00D01BF8"/>
    <w:rPr>
      <w:b/>
      <w:bCs/>
      <w:smallCaps/>
      <w:color w:val="0F4761" w:themeColor="accent1" w:themeShade="BF"/>
      <w:spacing w:val="5"/>
    </w:rPr>
  </w:style>
  <w:style w:type="paragraph" w:customStyle="1" w:styleId="paragraph">
    <w:name w:val="paragraph"/>
    <w:basedOn w:val="Normal"/>
    <w:rsid w:val="00D01BF8"/>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wacimagecontainer">
    <w:name w:val="wacimagecontainer"/>
    <w:basedOn w:val="DefaultParagraphFont"/>
    <w:rsid w:val="00D01BF8"/>
  </w:style>
  <w:style w:type="character" w:customStyle="1" w:styleId="normaltextrun">
    <w:name w:val="normaltextrun"/>
    <w:basedOn w:val="DefaultParagraphFont"/>
    <w:rsid w:val="00D01BF8"/>
  </w:style>
  <w:style w:type="character" w:customStyle="1" w:styleId="eop">
    <w:name w:val="eop"/>
    <w:basedOn w:val="DefaultParagraphFont"/>
    <w:rsid w:val="00D01BF8"/>
  </w:style>
  <w:style w:type="character" w:customStyle="1" w:styleId="tabchar">
    <w:name w:val="tabchar"/>
    <w:basedOn w:val="DefaultParagraphFont"/>
    <w:rsid w:val="00D01BF8"/>
  </w:style>
  <w:style w:type="character" w:styleId="Hyperlink">
    <w:name w:val="Hyperlink"/>
    <w:uiPriority w:val="99"/>
    <w:unhideWhenUsed/>
    <w:rsid w:val="00D01BF8"/>
    <w:rPr>
      <w:color w:val="16A0C1"/>
      <w:u w:val="single"/>
    </w:rPr>
  </w:style>
  <w:style w:type="paragraph" w:customStyle="1" w:styleId="BasicParagraph">
    <w:name w:val="[Basic Paragraph]"/>
    <w:basedOn w:val="Normal"/>
    <w:uiPriority w:val="99"/>
    <w:rsid w:val="00D01BF8"/>
    <w:pPr>
      <w:autoSpaceDE w:val="0"/>
      <w:autoSpaceDN w:val="0"/>
      <w:adjustRightInd w:val="0"/>
      <w:spacing w:after="100" w:line="240" w:lineRule="auto"/>
      <w:textAlignment w:val="center"/>
    </w:pPr>
    <w:rPr>
      <w:rFonts w:ascii="Arial" w:eastAsia="Arial" w:hAnsi="Arial" w:cs="Minion Pro"/>
      <w:color w:val="64777E"/>
      <w:kern w:val="0"/>
      <w:sz w:val="20"/>
      <w:lang w:val="en-US"/>
      <w14:ligatures w14:val="none"/>
    </w:rPr>
  </w:style>
  <w:style w:type="paragraph" w:customStyle="1" w:styleId="Atchison-Contactdetails">
    <w:name w:val="Atchison-Contact details"/>
    <w:rsid w:val="00D01BF8"/>
    <w:pPr>
      <w:spacing w:after="120" w:line="276" w:lineRule="auto"/>
    </w:pPr>
    <w:rPr>
      <w:rFonts w:ascii="Arial" w:eastAsia="Arial" w:hAnsi="Arial" w:cs="Times New Roman"/>
      <w:bCs/>
      <w:color w:val="FFFFFF"/>
      <w:kern w:val="0"/>
      <w:sz w:val="18"/>
      <w:szCs w:val="22"/>
      <w:lang w:val="en-US"/>
      <w14:ligatures w14:val="none"/>
    </w:rPr>
  </w:style>
  <w:style w:type="paragraph" w:styleId="Header">
    <w:name w:val="header"/>
    <w:basedOn w:val="Normal"/>
    <w:link w:val="HeaderChar"/>
    <w:uiPriority w:val="99"/>
    <w:unhideWhenUsed/>
    <w:rsid w:val="00D01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BF8"/>
  </w:style>
  <w:style w:type="paragraph" w:styleId="Footer">
    <w:name w:val="footer"/>
    <w:basedOn w:val="Normal"/>
    <w:link w:val="FooterChar"/>
    <w:uiPriority w:val="99"/>
    <w:unhideWhenUsed/>
    <w:rsid w:val="00D01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mailto:nick@atchison.com.au"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atchison.com.au/" TargetMode="External"/><Relationship Id="rId2" Type="http://schemas.openxmlformats.org/officeDocument/2006/relationships/customXml" Target="../customXml/item2.xml"/><Relationship Id="rId16" Type="http://schemas.openxmlformats.org/officeDocument/2006/relationships/hyperlink" Target="mailto:nick@atchison.com.a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www.atchison.com.au/" TargetMode="Externa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545E8A-4777-44D4-B858-B2A0A85541B5}">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88B38EFE-2409-4D7B-BA30-B22D437906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AF2E3B-B4B4-40CD-AA77-505AB42421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4324</TotalTime>
  <Pages>6</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Hatzis</dc:creator>
  <cp:keywords/>
  <dc:description/>
  <cp:lastModifiedBy>Nick Hatzis</cp:lastModifiedBy>
  <cp:revision>93</cp:revision>
  <dcterms:created xsi:type="dcterms:W3CDTF">2024-09-20T01:11:00Z</dcterms:created>
  <dcterms:modified xsi:type="dcterms:W3CDTF">2024-10-17T22:34:00Z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ies>
</file>