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61278" w14:textId="77777777" w:rsidR="00BE550E" w:rsidRDefault="00BE550E" w:rsidP="00BE550E">
      <w:pPr>
        <w:pStyle w:val="paragraph"/>
        <w:spacing w:before="0" w:beforeAutospacing="0" w:after="0" w:afterAutospacing="0"/>
        <w:jc w:val="right"/>
        <w:textAlignment w:val="baseline"/>
        <w:rPr>
          <w:rStyle w:val="eop"/>
          <w:rFonts w:ascii="Arial" w:eastAsiaTheme="majorEastAsia" w:hAnsi="Arial" w:cs="Arial"/>
          <w:color w:val="75C104"/>
          <w:sz w:val="28"/>
          <w:szCs w:val="28"/>
        </w:rPr>
      </w:pPr>
      <w:r>
        <w:rPr>
          <w:rStyle w:val="wacimagecontainer"/>
          <w:rFonts w:ascii="Segoe UI" w:eastAsiaTheme="majorEastAsia" w:hAnsi="Segoe UI" w:cs="Segoe UI"/>
          <w:noProof/>
          <w:color w:val="64777E"/>
          <w:sz w:val="12"/>
          <w:szCs w:val="12"/>
        </w:rPr>
        <w:drawing>
          <wp:anchor distT="0" distB="0" distL="114300" distR="114300" simplePos="0" relativeHeight="251658240" behindDoc="0" locked="0" layoutInCell="1" allowOverlap="1" wp14:anchorId="1060E808" wp14:editId="70B22E3B">
            <wp:simplePos x="0" y="0"/>
            <wp:positionH relativeFrom="page">
              <wp:align>right</wp:align>
            </wp:positionH>
            <wp:positionV relativeFrom="paragraph">
              <wp:posOffset>236</wp:posOffset>
            </wp:positionV>
            <wp:extent cx="7559675" cy="1703070"/>
            <wp:effectExtent l="0" t="0" r="3175" b="0"/>
            <wp:wrapSquare wrapText="bothSides"/>
            <wp:docPr id="11"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video gam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9675" cy="1703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eop"/>
          <w:rFonts w:ascii="Arial" w:eastAsiaTheme="majorEastAsia" w:hAnsi="Arial" w:cs="Arial"/>
          <w:color w:val="75C104"/>
          <w:sz w:val="28"/>
          <w:szCs w:val="28"/>
        </w:rPr>
        <w:t>September 2024</w:t>
      </w:r>
    </w:p>
    <w:p w14:paraId="454F3E64" w14:textId="77777777" w:rsidR="00BE550E" w:rsidRPr="008D30BD" w:rsidRDefault="00BE550E" w:rsidP="00BE550E">
      <w:pPr>
        <w:pStyle w:val="paragraph"/>
        <w:spacing w:before="0" w:beforeAutospacing="0" w:after="0" w:afterAutospacing="0"/>
        <w:jc w:val="center"/>
        <w:textAlignment w:val="baseline"/>
        <w:rPr>
          <w:rFonts w:ascii="Arial" w:eastAsiaTheme="majorEastAsia" w:hAnsi="Arial" w:cs="Arial"/>
          <w:color w:val="75C104"/>
          <w:sz w:val="28"/>
          <w:szCs w:val="28"/>
        </w:rPr>
      </w:pPr>
      <w:r>
        <w:rPr>
          <w:rStyle w:val="eop"/>
          <w:rFonts w:ascii="Arial" w:eastAsiaTheme="majorEastAsia" w:hAnsi="Arial" w:cs="Arial"/>
          <w:color w:val="75C104"/>
          <w:sz w:val="28"/>
          <w:szCs w:val="28"/>
        </w:rPr>
        <w:t> </w:t>
      </w:r>
    </w:p>
    <w:p w14:paraId="0C195008" w14:textId="77777777" w:rsidR="00BE550E" w:rsidRDefault="00BE550E" w:rsidP="00BE550E">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color w:val="75C104"/>
          <w:sz w:val="28"/>
          <w:szCs w:val="28"/>
        </w:rPr>
        <w:t>Recommended Fund Review</w:t>
      </w:r>
      <w:r>
        <w:rPr>
          <w:rStyle w:val="eop"/>
          <w:rFonts w:ascii="Arial" w:eastAsiaTheme="majorEastAsia" w:hAnsi="Arial" w:cs="Arial"/>
          <w:color w:val="75C104"/>
          <w:sz w:val="28"/>
          <w:szCs w:val="28"/>
        </w:rPr>
        <w:t> </w:t>
      </w:r>
    </w:p>
    <w:p w14:paraId="4220043E" w14:textId="77777777" w:rsidR="00BE550E" w:rsidRDefault="00BE550E" w:rsidP="00BE550E">
      <w:pPr>
        <w:pStyle w:val="paragraph"/>
        <w:spacing w:before="0" w:beforeAutospacing="0" w:after="0" w:afterAutospacing="0"/>
        <w:jc w:val="center"/>
        <w:textAlignment w:val="baseline"/>
        <w:rPr>
          <w:rFonts w:ascii="Segoe UI" w:hAnsi="Segoe UI" w:cs="Segoe UI"/>
          <w:color w:val="64777E"/>
          <w:sz w:val="18"/>
          <w:szCs w:val="18"/>
        </w:rPr>
      </w:pPr>
      <w:r>
        <w:rPr>
          <w:rStyle w:val="eop"/>
          <w:rFonts w:ascii="Arial" w:eastAsiaTheme="majorEastAsia" w:hAnsi="Arial" w:cs="Arial"/>
          <w:color w:val="75C104"/>
          <w:sz w:val="28"/>
          <w:szCs w:val="28"/>
        </w:rPr>
        <w:t> </w:t>
      </w:r>
    </w:p>
    <w:p w14:paraId="614FA759" w14:textId="01D66919" w:rsidR="00BE550E" w:rsidRDefault="00BE550E" w:rsidP="00BE550E">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b/>
          <w:bCs/>
          <w:color w:val="75C104"/>
          <w:sz w:val="28"/>
          <w:szCs w:val="28"/>
        </w:rPr>
        <w:t>Fairlight Global Small &amp; Mid Cap Fund</w:t>
      </w:r>
      <w:r>
        <w:rPr>
          <w:rStyle w:val="eop"/>
          <w:rFonts w:ascii="Arial" w:eastAsiaTheme="majorEastAsia" w:hAnsi="Arial" w:cs="Arial"/>
          <w:color w:val="75C104"/>
          <w:sz w:val="28"/>
          <w:szCs w:val="28"/>
        </w:rPr>
        <w:t> </w:t>
      </w:r>
    </w:p>
    <w:p w14:paraId="47D3DF97" w14:textId="0030A0E5" w:rsidR="00BE550E" w:rsidRDefault="00BE550E" w:rsidP="00BE550E">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b/>
          <w:bCs/>
          <w:color w:val="75C104"/>
          <w:sz w:val="28"/>
          <w:szCs w:val="28"/>
        </w:rPr>
        <w:t>APIR: PIM7802AU</w:t>
      </w:r>
      <w:r>
        <w:rPr>
          <w:rStyle w:val="eop"/>
          <w:rFonts w:ascii="Arial" w:eastAsiaTheme="majorEastAsia" w:hAnsi="Arial" w:cs="Arial"/>
          <w:color w:val="75C104"/>
          <w:sz w:val="28"/>
          <w:szCs w:val="28"/>
        </w:rPr>
        <w:t> </w:t>
      </w:r>
    </w:p>
    <w:p w14:paraId="26359107" w14:textId="77777777" w:rsidR="00BE550E" w:rsidRDefault="00BE550E" w:rsidP="00BE550E">
      <w:pPr>
        <w:pStyle w:val="paragraph"/>
        <w:spacing w:before="0" w:beforeAutospacing="0" w:after="0" w:afterAutospacing="0"/>
        <w:textAlignment w:val="baseline"/>
        <w:rPr>
          <w:rFonts w:ascii="Segoe UI" w:hAnsi="Segoe UI" w:cs="Segoe UI"/>
          <w:color w:val="4A585E"/>
          <w:sz w:val="18"/>
          <w:szCs w:val="18"/>
        </w:rPr>
      </w:pPr>
      <w:r>
        <w:rPr>
          <w:rStyle w:val="eop"/>
          <w:rFonts w:ascii="Arial" w:eastAsiaTheme="majorEastAsia" w:hAnsi="Arial" w:cs="Arial"/>
          <w:color w:val="76C204"/>
          <w:sz w:val="28"/>
          <w:szCs w:val="28"/>
        </w:rPr>
        <w:t> </w:t>
      </w:r>
    </w:p>
    <w:p w14:paraId="700985F8" w14:textId="77777777" w:rsidR="00BE550E" w:rsidRDefault="00BE550E" w:rsidP="00BE550E">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FUND</w:t>
      </w:r>
      <w:r>
        <w:rPr>
          <w:rStyle w:val="eop"/>
          <w:rFonts w:ascii="Arial" w:eastAsiaTheme="majorEastAsia" w:hAnsi="Arial" w:cs="Arial"/>
          <w:color w:val="76C204"/>
          <w:sz w:val="28"/>
          <w:szCs w:val="28"/>
        </w:rPr>
        <w:t> </w:t>
      </w:r>
    </w:p>
    <w:p w14:paraId="38655F6C" w14:textId="53CF0894" w:rsidR="00BE550E" w:rsidRPr="00BA7019" w:rsidRDefault="00BE550E" w:rsidP="00BE550E">
      <w:pPr>
        <w:pStyle w:val="paragraph"/>
        <w:spacing w:before="0" w:beforeAutospacing="0" w:after="0" w:afterAutospacing="0"/>
        <w:textAlignment w:val="baseline"/>
        <w:rPr>
          <w:rStyle w:val="eop"/>
          <w:rFonts w:ascii="Segoe UI" w:hAnsi="Segoe UI" w:cs="Segoe UI"/>
          <w:sz w:val="18"/>
          <w:szCs w:val="18"/>
        </w:rPr>
      </w:pPr>
      <w:r>
        <w:rPr>
          <w:rStyle w:val="normaltextrun"/>
          <w:rFonts w:ascii="Arial" w:eastAsiaTheme="majorEastAsia" w:hAnsi="Arial" w:cs="Arial"/>
          <w:color w:val="64777E"/>
          <w:sz w:val="18"/>
          <w:szCs w:val="18"/>
        </w:rPr>
        <w:t xml:space="preserve">The </w:t>
      </w:r>
      <w:r>
        <w:rPr>
          <w:rStyle w:val="normaltextrun"/>
          <w:rFonts w:ascii="Arial" w:eastAsiaTheme="majorEastAsia" w:hAnsi="Arial" w:cs="Arial"/>
          <w:b/>
          <w:bCs/>
          <w:color w:val="64777E"/>
          <w:sz w:val="18"/>
          <w:szCs w:val="18"/>
        </w:rPr>
        <w:t xml:space="preserve">Fairlight Global Small &amp; Mid Cap Fund </w:t>
      </w:r>
      <w:r>
        <w:rPr>
          <w:rStyle w:val="normaltextrun"/>
          <w:rFonts w:ascii="Arial" w:eastAsiaTheme="majorEastAsia" w:hAnsi="Arial" w:cs="Arial"/>
          <w:color w:val="64777E"/>
          <w:sz w:val="18"/>
          <w:szCs w:val="18"/>
        </w:rPr>
        <w:t>(the “Fund”) is managed by Fairlight and was incepted in November 2018. Fairlight invests in small-mid cap Global equities with a focus on quality and growth.</w:t>
      </w:r>
    </w:p>
    <w:p w14:paraId="240A9478" w14:textId="77777777" w:rsidR="00BE550E" w:rsidRDefault="00BE550E" w:rsidP="00BE550E">
      <w:pPr>
        <w:pStyle w:val="paragraph"/>
        <w:spacing w:before="0" w:beforeAutospacing="0" w:after="0" w:afterAutospacing="0"/>
        <w:textAlignment w:val="baseline"/>
        <w:rPr>
          <w:rFonts w:ascii="Segoe UI" w:hAnsi="Segoe UI" w:cs="Segoe UI"/>
          <w:color w:val="4A585E"/>
          <w:sz w:val="18"/>
          <w:szCs w:val="18"/>
        </w:rPr>
      </w:pPr>
    </w:p>
    <w:p w14:paraId="44EE7817" w14:textId="7B736CCC" w:rsidR="00BE550E" w:rsidRDefault="00BE550E" w:rsidP="00BE550E">
      <w:pPr>
        <w:pStyle w:val="paragraph"/>
        <w:spacing w:before="0" w:beforeAutospacing="0" w:after="0" w:afterAutospacing="0"/>
        <w:textAlignment w:val="baseline"/>
        <w:rPr>
          <w:rFonts w:ascii="Segoe UI" w:hAnsi="Segoe UI" w:cs="Segoe UI"/>
          <w:color w:val="64777E"/>
          <w:sz w:val="18"/>
          <w:szCs w:val="18"/>
        </w:rPr>
      </w:pPr>
      <w:r>
        <w:rPr>
          <w:rStyle w:val="normaltextrun"/>
          <w:rFonts w:ascii="Arial" w:eastAsiaTheme="majorEastAsia" w:hAnsi="Arial" w:cs="Arial"/>
          <w:color w:val="64777E"/>
          <w:sz w:val="18"/>
          <w:szCs w:val="18"/>
        </w:rPr>
        <w:t>It employs a long only, low turnover, concentrated portfolio construction process (average 30-40 stocks). The Fund</w:t>
      </w:r>
      <w:r>
        <w:rPr>
          <w:rStyle w:val="normaltextrun"/>
          <w:rFonts w:ascii="Arial" w:eastAsiaTheme="majorEastAsia" w:hAnsi="Arial" w:cs="Arial"/>
          <w:color w:val="64777E"/>
          <w:sz w:val="18"/>
          <w:szCs w:val="18"/>
          <w:lang w:val="en-US"/>
        </w:rPr>
        <w:t xml:space="preserve"> is structured as an open-ended unlisted registered managed investment scheme.</w:t>
      </w:r>
      <w:r>
        <w:rPr>
          <w:rStyle w:val="eop"/>
          <w:rFonts w:ascii="Arial" w:eastAsiaTheme="majorEastAsia" w:hAnsi="Arial" w:cs="Arial"/>
          <w:color w:val="64777E"/>
          <w:sz w:val="18"/>
          <w:szCs w:val="18"/>
        </w:rPr>
        <w:t> </w:t>
      </w:r>
    </w:p>
    <w:p w14:paraId="0B81E28D" w14:textId="77777777" w:rsidR="00BE550E" w:rsidRDefault="00BE550E" w:rsidP="00BE550E">
      <w:pPr>
        <w:pStyle w:val="paragraph"/>
        <w:spacing w:before="0" w:beforeAutospacing="0" w:after="0" w:afterAutospacing="0"/>
        <w:textAlignment w:val="baseline"/>
        <w:rPr>
          <w:rFonts w:ascii="Segoe UI" w:hAnsi="Segoe UI" w:cs="Segoe UI"/>
          <w:color w:val="64777E"/>
          <w:sz w:val="18"/>
          <w:szCs w:val="18"/>
        </w:rPr>
      </w:pPr>
      <w:r>
        <w:rPr>
          <w:rStyle w:val="normaltextrun"/>
          <w:rFonts w:ascii="Arial" w:eastAsiaTheme="majorEastAsia" w:hAnsi="Arial" w:cs="Arial"/>
          <w:color w:val="64777E"/>
          <w:sz w:val="18"/>
          <w:szCs w:val="18"/>
          <w:lang w:val="en-US"/>
        </w:rPr>
        <w:t> </w:t>
      </w:r>
      <w:r>
        <w:rPr>
          <w:rStyle w:val="eop"/>
          <w:rFonts w:ascii="Arial" w:eastAsiaTheme="majorEastAsia" w:hAnsi="Arial" w:cs="Arial"/>
          <w:color w:val="64777E"/>
          <w:sz w:val="18"/>
          <w:szCs w:val="18"/>
        </w:rPr>
        <w:t> </w:t>
      </w:r>
    </w:p>
    <w:p w14:paraId="10DCE6AF" w14:textId="77777777" w:rsidR="00BE550E" w:rsidRDefault="00BE550E" w:rsidP="00BE550E">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INVESTMENT OBJECTIVE</w:t>
      </w:r>
      <w:r>
        <w:rPr>
          <w:rStyle w:val="eop"/>
          <w:rFonts w:ascii="Arial" w:eastAsiaTheme="majorEastAsia" w:hAnsi="Arial" w:cs="Arial"/>
          <w:color w:val="76C204"/>
          <w:sz w:val="28"/>
          <w:szCs w:val="28"/>
        </w:rPr>
        <w:t> </w:t>
      </w:r>
    </w:p>
    <w:p w14:paraId="058A888A" w14:textId="02C17185" w:rsidR="00BE550E" w:rsidRPr="0063057F" w:rsidRDefault="00BE550E" w:rsidP="00BE550E">
      <w:pPr>
        <w:pStyle w:val="paragraph"/>
        <w:spacing w:after="0"/>
        <w:textAlignment w:val="baseline"/>
        <w:rPr>
          <w:rFonts w:ascii="Arial" w:eastAsiaTheme="majorEastAsia" w:hAnsi="Arial" w:cs="Arial"/>
          <w:color w:val="64777E"/>
          <w:sz w:val="18"/>
          <w:szCs w:val="18"/>
          <w:lang w:val="en-US"/>
        </w:rPr>
      </w:pPr>
      <w:r w:rsidRPr="0063057F">
        <w:rPr>
          <w:rStyle w:val="normaltextrun"/>
          <w:rFonts w:ascii="Arial" w:eastAsiaTheme="majorEastAsia" w:hAnsi="Arial" w:cs="Arial"/>
          <w:color w:val="64777E"/>
          <w:sz w:val="18"/>
          <w:szCs w:val="18"/>
          <w:lang w:val="en-US"/>
        </w:rPr>
        <w:t xml:space="preserve">The Fund aims to outperform the </w:t>
      </w:r>
      <w:r>
        <w:rPr>
          <w:rFonts w:ascii="Arial" w:eastAsiaTheme="majorEastAsia" w:hAnsi="Arial" w:cs="Arial"/>
          <w:color w:val="64777E"/>
          <w:sz w:val="18"/>
          <w:szCs w:val="18"/>
        </w:rPr>
        <w:t xml:space="preserve">MSCI World SMID Cap NR Index AUD (‘the </w:t>
      </w:r>
      <w:r w:rsidRPr="0063057F">
        <w:rPr>
          <w:rStyle w:val="normaltextrun"/>
          <w:rFonts w:ascii="Arial" w:eastAsiaTheme="majorEastAsia" w:hAnsi="Arial" w:cs="Arial"/>
          <w:color w:val="64777E"/>
          <w:sz w:val="18"/>
          <w:szCs w:val="18"/>
          <w:lang w:val="en-US"/>
        </w:rPr>
        <w:t>Benchmark</w:t>
      </w:r>
      <w:r>
        <w:rPr>
          <w:rStyle w:val="normaltextrun"/>
          <w:rFonts w:ascii="Arial" w:eastAsiaTheme="majorEastAsia" w:hAnsi="Arial" w:cs="Arial"/>
          <w:color w:val="64777E"/>
          <w:sz w:val="18"/>
          <w:szCs w:val="18"/>
          <w:lang w:val="en-US"/>
        </w:rPr>
        <w:t>’)</w:t>
      </w:r>
      <w:r w:rsidRPr="0063057F">
        <w:rPr>
          <w:rStyle w:val="normaltextrun"/>
          <w:rFonts w:ascii="Arial" w:eastAsiaTheme="majorEastAsia" w:hAnsi="Arial" w:cs="Arial"/>
          <w:color w:val="64777E"/>
          <w:sz w:val="18"/>
          <w:szCs w:val="18"/>
          <w:lang w:val="en-US"/>
        </w:rPr>
        <w:t xml:space="preserve"> </w:t>
      </w:r>
      <w:r>
        <w:rPr>
          <w:rStyle w:val="normaltextrun"/>
          <w:rFonts w:ascii="Arial" w:eastAsiaTheme="majorEastAsia" w:hAnsi="Arial" w:cs="Arial"/>
          <w:color w:val="64777E"/>
          <w:sz w:val="18"/>
          <w:szCs w:val="18"/>
          <w:lang w:val="en-US"/>
        </w:rPr>
        <w:t xml:space="preserve">after all fees and expenses </w:t>
      </w:r>
      <w:r w:rsidRPr="0063057F">
        <w:rPr>
          <w:rStyle w:val="normaltextrun"/>
          <w:rFonts w:ascii="Arial" w:eastAsiaTheme="majorEastAsia" w:hAnsi="Arial" w:cs="Arial"/>
          <w:color w:val="64777E"/>
          <w:sz w:val="18"/>
          <w:szCs w:val="18"/>
          <w:lang w:val="en-US"/>
        </w:rPr>
        <w:t xml:space="preserve">over a rolling </w:t>
      </w:r>
      <w:r>
        <w:rPr>
          <w:rStyle w:val="normaltextrun"/>
          <w:rFonts w:ascii="Arial" w:eastAsiaTheme="majorEastAsia" w:hAnsi="Arial" w:cs="Arial"/>
          <w:color w:val="64777E"/>
          <w:sz w:val="18"/>
          <w:szCs w:val="18"/>
          <w:lang w:val="en-US"/>
        </w:rPr>
        <w:t>seven</w:t>
      </w:r>
      <w:r w:rsidRPr="0063057F">
        <w:rPr>
          <w:rStyle w:val="normaltextrun"/>
          <w:rFonts w:ascii="Arial" w:eastAsiaTheme="majorEastAsia" w:hAnsi="Arial" w:cs="Arial"/>
          <w:color w:val="64777E"/>
          <w:sz w:val="18"/>
          <w:szCs w:val="18"/>
          <w:lang w:val="en-US"/>
        </w:rPr>
        <w:t>-year period by investing in a</w:t>
      </w:r>
      <w:r>
        <w:rPr>
          <w:rStyle w:val="normaltextrun"/>
          <w:rFonts w:ascii="Arial" w:eastAsiaTheme="majorEastAsia" w:hAnsi="Arial" w:cs="Arial"/>
          <w:color w:val="64777E"/>
          <w:sz w:val="18"/>
          <w:szCs w:val="18"/>
          <w:lang w:val="en-US"/>
        </w:rPr>
        <w:t xml:space="preserve"> </w:t>
      </w:r>
      <w:r w:rsidRPr="0063057F">
        <w:rPr>
          <w:rStyle w:val="normaltextrun"/>
          <w:rFonts w:ascii="Arial" w:eastAsiaTheme="majorEastAsia" w:hAnsi="Arial" w:cs="Arial"/>
          <w:color w:val="64777E"/>
          <w:sz w:val="18"/>
          <w:szCs w:val="18"/>
          <w:lang w:val="en-US"/>
        </w:rPr>
        <w:t xml:space="preserve">portfolio of </w:t>
      </w:r>
      <w:r>
        <w:rPr>
          <w:rStyle w:val="normaltextrun"/>
          <w:rFonts w:ascii="Arial" w:eastAsiaTheme="majorEastAsia" w:hAnsi="Arial" w:cs="Arial"/>
          <w:color w:val="64777E"/>
          <w:sz w:val="18"/>
          <w:szCs w:val="18"/>
          <w:lang w:val="en-US"/>
        </w:rPr>
        <w:t>ex-</w:t>
      </w:r>
      <w:r w:rsidRPr="0063057F">
        <w:rPr>
          <w:rStyle w:val="normaltextrun"/>
          <w:rFonts w:ascii="Arial" w:eastAsiaTheme="majorEastAsia" w:hAnsi="Arial" w:cs="Arial"/>
          <w:color w:val="64777E"/>
          <w:sz w:val="18"/>
          <w:szCs w:val="18"/>
          <w:lang w:val="en-US"/>
        </w:rPr>
        <w:t>Austral</w:t>
      </w:r>
      <w:r>
        <w:rPr>
          <w:rStyle w:val="normaltextrun"/>
          <w:rFonts w:ascii="Arial" w:eastAsiaTheme="majorEastAsia" w:hAnsi="Arial" w:cs="Arial"/>
          <w:color w:val="64777E"/>
          <w:sz w:val="18"/>
          <w:szCs w:val="18"/>
          <w:lang w:val="en-US"/>
        </w:rPr>
        <w:t xml:space="preserve">ian global </w:t>
      </w:r>
      <w:r w:rsidRPr="0063057F">
        <w:rPr>
          <w:rStyle w:val="normaltextrun"/>
          <w:rFonts w:ascii="Arial" w:eastAsiaTheme="majorEastAsia" w:hAnsi="Arial" w:cs="Arial"/>
          <w:color w:val="64777E"/>
          <w:sz w:val="18"/>
          <w:szCs w:val="18"/>
          <w:lang w:val="en-US"/>
        </w:rPr>
        <w:t>companies.</w:t>
      </w:r>
      <w:r>
        <w:rPr>
          <w:rStyle w:val="normaltextrun"/>
          <w:rFonts w:ascii="Arial" w:eastAsiaTheme="majorEastAsia" w:hAnsi="Arial" w:cs="Arial"/>
          <w:color w:val="64777E"/>
          <w:sz w:val="18"/>
          <w:szCs w:val="18"/>
          <w:lang w:val="en-US"/>
        </w:rPr>
        <w:t xml:space="preserve"> </w:t>
      </w:r>
    </w:p>
    <w:p w14:paraId="2EA4DC1E" w14:textId="04EF3E01" w:rsidR="00BE550E" w:rsidRDefault="00BE550E" w:rsidP="00BE550E">
      <w:pPr>
        <w:pStyle w:val="paragraph"/>
        <w:spacing w:before="0" w:beforeAutospacing="0" w:after="0" w:afterAutospacing="0"/>
        <w:textAlignment w:val="baseline"/>
        <w:rPr>
          <w:rFonts w:ascii="Segoe UI" w:hAnsi="Segoe UI" w:cs="Segoe UI"/>
          <w:color w:val="64777E"/>
          <w:sz w:val="18"/>
          <w:szCs w:val="18"/>
        </w:rPr>
      </w:pPr>
      <w:r>
        <w:rPr>
          <w:rStyle w:val="normaltextrun"/>
          <w:rFonts w:ascii="Arial" w:eastAsiaTheme="majorEastAsia" w:hAnsi="Arial" w:cs="Arial"/>
          <w:color w:val="64777E"/>
          <w:sz w:val="18"/>
          <w:szCs w:val="18"/>
          <w:lang w:val="en-US"/>
        </w:rPr>
        <w:t>The Fund is a quality/growth oriented, actively managed fund that invests in small-mid cap ex-Australian global listed companies in the market cap spectrum of US$500mn-$40bn. </w:t>
      </w:r>
      <w:r>
        <w:rPr>
          <w:rStyle w:val="eop"/>
          <w:rFonts w:ascii="Arial" w:eastAsiaTheme="majorEastAsia" w:hAnsi="Arial" w:cs="Arial"/>
          <w:color w:val="64777E"/>
          <w:sz w:val="18"/>
          <w:szCs w:val="18"/>
        </w:rPr>
        <w:t> </w:t>
      </w:r>
    </w:p>
    <w:p w14:paraId="059D3767" w14:textId="77777777" w:rsidR="00BE550E" w:rsidRDefault="00BE550E" w:rsidP="00BE550E">
      <w:pPr>
        <w:pStyle w:val="paragraph"/>
        <w:spacing w:before="0" w:beforeAutospacing="0" w:after="0" w:afterAutospacing="0"/>
        <w:textAlignment w:val="baseline"/>
        <w:rPr>
          <w:rFonts w:ascii="Segoe UI" w:hAnsi="Segoe UI" w:cs="Segoe UI"/>
          <w:color w:val="64777E"/>
          <w:sz w:val="18"/>
          <w:szCs w:val="18"/>
        </w:rPr>
      </w:pPr>
      <w:r>
        <w:rPr>
          <w:rStyle w:val="eop"/>
          <w:rFonts w:ascii="Arial" w:eastAsiaTheme="majorEastAsia" w:hAnsi="Arial" w:cs="Arial"/>
          <w:color w:val="64777E"/>
          <w:sz w:val="18"/>
          <w:szCs w:val="18"/>
        </w:rPr>
        <w:t> </w:t>
      </w:r>
    </w:p>
    <w:p w14:paraId="7B632F59" w14:textId="77777777" w:rsidR="00BE550E" w:rsidRPr="00437C79" w:rsidRDefault="00BE550E" w:rsidP="00BE550E">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GOVERNANCE AND COMPLIANCE</w:t>
      </w:r>
      <w:r>
        <w:rPr>
          <w:rStyle w:val="eop"/>
          <w:rFonts w:ascii="Arial" w:eastAsiaTheme="majorEastAsia" w:hAnsi="Arial" w:cs="Arial"/>
          <w:color w:val="76C204"/>
          <w:sz w:val="28"/>
          <w:szCs w:val="28"/>
        </w:rPr>
        <w:t> </w:t>
      </w:r>
    </w:p>
    <w:p w14:paraId="271C6DBB" w14:textId="77777777" w:rsidR="00BE550E" w:rsidRPr="00B37E61" w:rsidRDefault="00BE550E" w:rsidP="00BE550E">
      <w:pPr>
        <w:pBdr>
          <w:top w:val="nil"/>
          <w:left w:val="nil"/>
          <w:bottom w:val="nil"/>
          <w:right w:val="nil"/>
          <w:between w:val="nil"/>
        </w:pBdr>
        <w:spacing w:after="120" w:line="276" w:lineRule="auto"/>
        <w:rPr>
          <w:rFonts w:ascii="Arial" w:eastAsia="Calibri" w:hAnsi="Arial" w:cs="Times New Roman (Body CS)"/>
          <w:color w:val="76C204"/>
          <w:kern w:val="0"/>
          <w:sz w:val="20"/>
          <w:szCs w:val="20"/>
          <w14:ligatures w14:val="none"/>
        </w:rPr>
      </w:pPr>
      <w:r w:rsidRPr="00B37E61">
        <w:rPr>
          <w:rFonts w:ascii="Arial" w:eastAsia="Calibri" w:hAnsi="Arial" w:cs="Times New Roman (Body CS)"/>
          <w:color w:val="76C204"/>
          <w:kern w:val="0"/>
          <w:sz w:val="20"/>
          <w:szCs w:val="20"/>
          <w14:ligatures w14:val="none"/>
        </w:rPr>
        <w:t>Responsible Entity</w:t>
      </w:r>
    </w:p>
    <w:p w14:paraId="08AA7747" w14:textId="2CA139C4" w:rsidR="00BE550E" w:rsidRPr="00B37E61" w:rsidRDefault="00BE550E" w:rsidP="00BE550E">
      <w:pPr>
        <w:autoSpaceDE w:val="0"/>
        <w:autoSpaceDN w:val="0"/>
        <w:adjustRightInd w:val="0"/>
        <w:spacing w:after="0" w:line="276" w:lineRule="auto"/>
        <w:rPr>
          <w:rFonts w:ascii="Arial" w:eastAsia="Arial" w:hAnsi="Arial" w:cs="Arial"/>
          <w:color w:val="64777E"/>
          <w:kern w:val="0"/>
          <w:sz w:val="18"/>
          <w:szCs w:val="18"/>
          <w:lang w:eastAsia="en-GB"/>
          <w14:ligatures w14:val="none"/>
        </w:rPr>
      </w:pPr>
      <w:r>
        <w:rPr>
          <w:rFonts w:ascii="Arial" w:eastAsia="Arial" w:hAnsi="Arial" w:cs="Arial"/>
          <w:color w:val="64777E"/>
          <w:kern w:val="0"/>
          <w:sz w:val="18"/>
          <w:szCs w:val="18"/>
          <w:lang w:eastAsia="en-GB"/>
          <w14:ligatures w14:val="none"/>
        </w:rPr>
        <w:t>The Trust Company (‘Perpetual’, ‘the RE’)</w:t>
      </w:r>
      <w:r w:rsidRPr="00B37E61">
        <w:rPr>
          <w:rFonts w:ascii="Arial" w:eastAsia="Arial" w:hAnsi="Arial" w:cs="Arial"/>
          <w:color w:val="64777E"/>
          <w:kern w:val="0"/>
          <w:sz w:val="18"/>
          <w:szCs w:val="18"/>
          <w:lang w:eastAsia="en-GB"/>
          <w14:ligatures w14:val="none"/>
        </w:rPr>
        <w:t xml:space="preserve"> is the Responsible Entity of the </w:t>
      </w:r>
      <w:r>
        <w:rPr>
          <w:rFonts w:ascii="Arial" w:eastAsia="Arial" w:hAnsi="Arial" w:cs="Arial"/>
          <w:color w:val="64777E"/>
          <w:kern w:val="0"/>
          <w:sz w:val="18"/>
          <w:szCs w:val="18"/>
          <w:lang w:eastAsia="en-GB"/>
          <w14:ligatures w14:val="none"/>
        </w:rPr>
        <w:t>Fairlight Global Small &amp; Mid Cap Fund.</w:t>
      </w:r>
      <w:r w:rsidRPr="00B37E61">
        <w:rPr>
          <w:rFonts w:ascii="Arial" w:eastAsia="Arial" w:hAnsi="Arial" w:cs="Arial"/>
          <w:color w:val="64777E"/>
          <w:kern w:val="0"/>
          <w:sz w:val="18"/>
          <w:szCs w:val="18"/>
          <w:lang w:eastAsia="en-GB"/>
          <w14:ligatures w14:val="none"/>
        </w:rPr>
        <w:t xml:space="preserve"> </w:t>
      </w:r>
      <w:r>
        <w:rPr>
          <w:rFonts w:ascii="Arial" w:eastAsia="Arial" w:hAnsi="Arial" w:cs="Arial"/>
          <w:color w:val="64777E"/>
          <w:kern w:val="0"/>
          <w:sz w:val="18"/>
          <w:szCs w:val="18"/>
          <w:lang w:eastAsia="en-GB"/>
          <w14:ligatures w14:val="none"/>
        </w:rPr>
        <w:t>Pleasingly the RE is not a related party.</w:t>
      </w:r>
    </w:p>
    <w:p w14:paraId="0EAE9831" w14:textId="77777777" w:rsidR="00BE550E" w:rsidRPr="00B37E61" w:rsidRDefault="00BE550E" w:rsidP="00BE550E">
      <w:pPr>
        <w:autoSpaceDE w:val="0"/>
        <w:autoSpaceDN w:val="0"/>
        <w:adjustRightInd w:val="0"/>
        <w:spacing w:after="0" w:line="276" w:lineRule="auto"/>
        <w:rPr>
          <w:rFonts w:ascii="Arial" w:eastAsia="Arial" w:hAnsi="Arial" w:cs="Arial"/>
          <w:color w:val="64777E"/>
          <w:kern w:val="0"/>
          <w:sz w:val="18"/>
          <w:szCs w:val="18"/>
          <w:lang w:eastAsia="en-GB"/>
          <w14:ligatures w14:val="none"/>
        </w:rPr>
      </w:pPr>
    </w:p>
    <w:p w14:paraId="5B114885" w14:textId="77777777" w:rsidR="00BE550E" w:rsidRPr="00B37E61" w:rsidRDefault="00BE550E" w:rsidP="00BE550E">
      <w:pPr>
        <w:pBdr>
          <w:top w:val="nil"/>
          <w:left w:val="nil"/>
          <w:bottom w:val="nil"/>
          <w:right w:val="nil"/>
          <w:between w:val="nil"/>
        </w:pBdr>
        <w:spacing w:after="120" w:line="276" w:lineRule="auto"/>
        <w:rPr>
          <w:rFonts w:ascii="Arial" w:eastAsia="Calibri" w:hAnsi="Arial" w:cs="Times New Roman (Body CS)"/>
          <w:color w:val="76C204"/>
          <w:kern w:val="0"/>
          <w:sz w:val="22"/>
          <w:szCs w:val="22"/>
          <w14:ligatures w14:val="none"/>
        </w:rPr>
      </w:pPr>
      <w:r w:rsidRPr="00B37E61">
        <w:rPr>
          <w:rFonts w:ascii="Arial" w:eastAsia="Calibri" w:hAnsi="Arial" w:cs="Times New Roman (Body CS)"/>
          <w:color w:val="76C204"/>
          <w:kern w:val="0"/>
          <w:sz w:val="22"/>
          <w:szCs w:val="22"/>
          <w14:ligatures w14:val="none"/>
        </w:rPr>
        <w:t>Compliance</w:t>
      </w:r>
    </w:p>
    <w:p w14:paraId="4118036A" w14:textId="77777777" w:rsidR="00BE550E" w:rsidRPr="00B37E61" w:rsidRDefault="00BE550E" w:rsidP="00BE550E">
      <w:pPr>
        <w:pBdr>
          <w:top w:val="nil"/>
          <w:left w:val="nil"/>
          <w:bottom w:val="nil"/>
          <w:right w:val="nil"/>
          <w:between w:val="nil"/>
        </w:pBdr>
        <w:spacing w:after="120" w:line="276" w:lineRule="auto"/>
        <w:rPr>
          <w:rFonts w:ascii="Arial" w:eastAsia="Calibri" w:hAnsi="Arial" w:cs="Arial"/>
          <w:color w:val="64777E"/>
          <w:kern w:val="0"/>
          <w:sz w:val="28"/>
          <w:szCs w:val="28"/>
          <w14:ligatures w14:val="none"/>
        </w:rPr>
      </w:pPr>
      <w:r w:rsidRPr="00B37E61">
        <w:rPr>
          <w:rFonts w:ascii="Arial" w:eastAsia="Arial" w:hAnsi="Arial" w:cs="Arial"/>
          <w:color w:val="64777E"/>
          <w:kern w:val="0"/>
          <w:sz w:val="18"/>
          <w:szCs w:val="18"/>
          <w14:ligatures w14:val="none"/>
        </w:rPr>
        <w:t>The Responsible Entity’s Compliance Committee is responsible for overall compliance as part of its function in forming long-term alliances and supporting a stable of investment management businesses.</w:t>
      </w:r>
    </w:p>
    <w:p w14:paraId="5147BEF7" w14:textId="77777777" w:rsidR="00BE550E" w:rsidRPr="00B37E61" w:rsidRDefault="00BE550E" w:rsidP="00BE550E">
      <w:pPr>
        <w:autoSpaceDE w:val="0"/>
        <w:autoSpaceDN w:val="0"/>
        <w:adjustRightInd w:val="0"/>
        <w:spacing w:after="0" w:line="276" w:lineRule="auto"/>
        <w:textAlignment w:val="center"/>
        <w:rPr>
          <w:rFonts w:ascii="Arial" w:eastAsia="Arial" w:hAnsi="Arial" w:cs="Arial"/>
          <w:color w:val="64777E"/>
          <w:kern w:val="0"/>
          <w:sz w:val="18"/>
          <w:szCs w:val="18"/>
          <w:lang w:val="en-US"/>
          <w14:ligatures w14:val="none"/>
        </w:rPr>
      </w:pPr>
    </w:p>
    <w:p w14:paraId="4875F22E" w14:textId="77777777" w:rsidR="00BE550E" w:rsidRPr="00B37E61" w:rsidRDefault="00BE550E" w:rsidP="00BE550E">
      <w:pPr>
        <w:pBdr>
          <w:top w:val="nil"/>
          <w:left w:val="nil"/>
          <w:bottom w:val="nil"/>
          <w:right w:val="nil"/>
          <w:between w:val="nil"/>
        </w:pBdr>
        <w:spacing w:after="120" w:line="276" w:lineRule="auto"/>
        <w:rPr>
          <w:rFonts w:ascii="Arial" w:eastAsia="Calibri" w:hAnsi="Arial" w:cs="Times New Roman (Body CS)"/>
          <w:color w:val="76C204"/>
          <w:kern w:val="0"/>
          <w:sz w:val="28"/>
          <w:szCs w:val="28"/>
          <w14:ligatures w14:val="none"/>
        </w:rPr>
      </w:pPr>
      <w:r w:rsidRPr="00B37E61">
        <w:rPr>
          <w:rFonts w:ascii="Arial" w:eastAsia="Calibri" w:hAnsi="Arial" w:cs="Times New Roman (Body CS)"/>
          <w:color w:val="76C204"/>
          <w:kern w:val="0"/>
          <w:sz w:val="28"/>
          <w:szCs w:val="28"/>
          <w14:ligatures w14:val="none"/>
        </w:rPr>
        <w:t xml:space="preserve">FUNDS UNDER MANAGEMENT </w:t>
      </w:r>
    </w:p>
    <w:p w14:paraId="66F7AD2F" w14:textId="322B62F2" w:rsidR="00BE550E" w:rsidRPr="007E74F1" w:rsidRDefault="007E74F1" w:rsidP="007E74F1">
      <w:pPr>
        <w:numPr>
          <w:ilvl w:val="0"/>
          <w:numId w:val="1"/>
        </w:num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r>
        <w:rPr>
          <w:rFonts w:ascii="Arial" w:eastAsia="Arial" w:hAnsi="Arial" w:cs="Times New Roman (Body CS)"/>
          <w:color w:val="64777E"/>
          <w:kern w:val="0"/>
          <w:sz w:val="18"/>
          <w:szCs w:val="22"/>
          <w14:ligatures w14:val="none"/>
        </w:rPr>
        <w:t>Global Small &amp; Mid Cap Fund - $1.6bn</w:t>
      </w:r>
    </w:p>
    <w:p w14:paraId="46BBD4FE" w14:textId="77777777" w:rsidR="00BE550E" w:rsidRDefault="00BE550E" w:rsidP="00BE550E">
      <w:p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p>
    <w:p w14:paraId="2EE6E3D9" w14:textId="6CD09707" w:rsidR="00BE550E" w:rsidRPr="00B37E61" w:rsidRDefault="00BE550E" w:rsidP="00BE550E">
      <w:p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r>
        <w:rPr>
          <w:rFonts w:ascii="Arial" w:eastAsia="Arial" w:hAnsi="Arial" w:cs="Times New Roman (Body CS)"/>
          <w:color w:val="64777E"/>
          <w:kern w:val="0"/>
          <w:sz w:val="18"/>
          <w:szCs w:val="22"/>
          <w14:ligatures w14:val="none"/>
        </w:rPr>
        <w:t xml:space="preserve">The Manager has indicated a capacity limit of </w:t>
      </w:r>
      <w:r w:rsidR="007E74F1">
        <w:rPr>
          <w:rFonts w:ascii="Arial" w:eastAsia="Arial" w:hAnsi="Arial" w:cs="Times New Roman (Body CS)"/>
          <w:color w:val="64777E"/>
          <w:kern w:val="0"/>
          <w:sz w:val="18"/>
          <w:szCs w:val="22"/>
          <w14:ligatures w14:val="none"/>
        </w:rPr>
        <w:t>US</w:t>
      </w:r>
      <w:r>
        <w:rPr>
          <w:rFonts w:ascii="Arial" w:eastAsia="Arial" w:hAnsi="Arial" w:cs="Times New Roman (Body CS)"/>
          <w:color w:val="64777E"/>
          <w:kern w:val="0"/>
          <w:sz w:val="18"/>
          <w:szCs w:val="22"/>
          <w14:ligatures w14:val="none"/>
        </w:rPr>
        <w:t>$4bn on Fund</w:t>
      </w:r>
      <w:r w:rsidR="007E74F1">
        <w:rPr>
          <w:rFonts w:ascii="Arial" w:eastAsia="Arial" w:hAnsi="Arial" w:cs="Times New Roman (Body CS)"/>
          <w:color w:val="64777E"/>
          <w:kern w:val="0"/>
          <w:sz w:val="18"/>
          <w:szCs w:val="22"/>
          <w14:ligatures w14:val="none"/>
        </w:rPr>
        <w:t xml:space="preserve"> and as such there is plenty of headroom for growth</w:t>
      </w:r>
      <w:r>
        <w:rPr>
          <w:rFonts w:ascii="Arial" w:eastAsia="Arial" w:hAnsi="Arial" w:cs="Times New Roman (Body CS)"/>
          <w:color w:val="64777E"/>
          <w:kern w:val="0"/>
          <w:sz w:val="18"/>
          <w:szCs w:val="22"/>
          <w14:ligatures w14:val="none"/>
        </w:rPr>
        <w:t xml:space="preserve">. This is the only Fund </w:t>
      </w:r>
      <w:r w:rsidR="007E74F1">
        <w:rPr>
          <w:rFonts w:ascii="Arial" w:eastAsia="Arial" w:hAnsi="Arial" w:cs="Times New Roman (Body CS)"/>
          <w:color w:val="64777E"/>
          <w:kern w:val="0"/>
          <w:sz w:val="18"/>
          <w:szCs w:val="22"/>
          <w14:ligatures w14:val="none"/>
        </w:rPr>
        <w:t>that the manager is responsible for.</w:t>
      </w:r>
      <w:r w:rsidR="00A76890">
        <w:rPr>
          <w:rFonts w:ascii="Arial" w:eastAsia="Arial" w:hAnsi="Arial" w:cs="Times New Roman (Body CS)"/>
          <w:color w:val="64777E"/>
          <w:kern w:val="0"/>
          <w:sz w:val="18"/>
          <w:szCs w:val="22"/>
          <w14:ligatures w14:val="none"/>
        </w:rPr>
        <w:t xml:space="preserve"> Over 90% of the money invested is retail with only roughly $80mn invested across two institutional mandates. </w:t>
      </w:r>
      <w:r w:rsidRPr="00B37E61">
        <w:rPr>
          <w:rFonts w:ascii="Arial" w:eastAsia="Arial" w:hAnsi="Arial" w:cs="Times New Roman (Body CS)"/>
          <w:color w:val="64777E"/>
          <w:kern w:val="0"/>
          <w:sz w:val="18"/>
          <w:szCs w:val="22"/>
          <w14:ligatures w14:val="none"/>
        </w:rPr>
        <w:br w:type="page"/>
      </w:r>
    </w:p>
    <w:p w14:paraId="6ABFD1EC" w14:textId="77777777" w:rsidR="00BE550E" w:rsidRDefault="00BE550E" w:rsidP="00BE550E">
      <w:pPr>
        <w:pStyle w:val="BasicParagraph"/>
        <w:spacing w:after="0" w:line="276" w:lineRule="auto"/>
        <w:rPr>
          <w:rFonts w:eastAsia="Calibri"/>
          <w:color w:val="76C204"/>
          <w:sz w:val="28"/>
          <w:szCs w:val="28"/>
        </w:rPr>
      </w:pPr>
      <w:r>
        <w:rPr>
          <w:rFonts w:eastAsia="Calibri"/>
          <w:color w:val="76C204"/>
          <w:sz w:val="28"/>
          <w:szCs w:val="28"/>
        </w:rPr>
        <w:lastRenderedPageBreak/>
        <w:t>PRODUCT FEATURES</w:t>
      </w:r>
    </w:p>
    <w:p w14:paraId="4B388CA5" w14:textId="77777777" w:rsidR="007E74F1" w:rsidRDefault="007E74F1" w:rsidP="007E74F1">
      <w:p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p>
    <w:p w14:paraId="5BE53F9F" w14:textId="24449115" w:rsidR="00BE550E" w:rsidRDefault="007E74F1" w:rsidP="007E74F1">
      <w:pPr>
        <w:numPr>
          <w:ilvl w:val="0"/>
          <w:numId w:val="1"/>
        </w:num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r>
        <w:rPr>
          <w:rFonts w:ascii="Arial" w:eastAsia="Arial" w:hAnsi="Arial" w:cs="Times New Roman (Body CS)"/>
          <w:color w:val="64777E"/>
          <w:kern w:val="0"/>
          <w:sz w:val="18"/>
          <w:szCs w:val="22"/>
          <w14:ligatures w14:val="none"/>
        </w:rPr>
        <w:t>Management Fee = 1.30% p.a.</w:t>
      </w:r>
    </w:p>
    <w:p w14:paraId="1421D202" w14:textId="5915AADD" w:rsidR="007E74F1" w:rsidRDefault="007E74F1" w:rsidP="007E74F1">
      <w:pPr>
        <w:numPr>
          <w:ilvl w:val="0"/>
          <w:numId w:val="1"/>
        </w:num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r>
        <w:rPr>
          <w:rFonts w:ascii="Arial" w:eastAsia="Arial" w:hAnsi="Arial" w:cs="Times New Roman (Body CS)"/>
          <w:color w:val="64777E"/>
          <w:kern w:val="0"/>
          <w:sz w:val="18"/>
          <w:szCs w:val="22"/>
          <w14:ligatures w14:val="none"/>
        </w:rPr>
        <w:t>Performance Fee = 15% (Hurdle and High Watermark included)</w:t>
      </w:r>
    </w:p>
    <w:p w14:paraId="1701ADCE" w14:textId="1335CC2D" w:rsidR="007E74F1" w:rsidRDefault="007E74F1" w:rsidP="007E74F1">
      <w:pPr>
        <w:numPr>
          <w:ilvl w:val="0"/>
          <w:numId w:val="1"/>
        </w:num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r>
        <w:rPr>
          <w:rFonts w:ascii="Arial" w:eastAsia="Arial" w:hAnsi="Arial" w:cs="Times New Roman (Body CS)"/>
          <w:color w:val="64777E"/>
          <w:kern w:val="0"/>
          <w:sz w:val="18"/>
          <w:szCs w:val="22"/>
          <w14:ligatures w14:val="none"/>
        </w:rPr>
        <w:t>AFC = 1.75%</w:t>
      </w:r>
    </w:p>
    <w:p w14:paraId="53AAF708" w14:textId="103E61E8" w:rsidR="007E74F1" w:rsidRDefault="007E74F1" w:rsidP="007E74F1">
      <w:pPr>
        <w:numPr>
          <w:ilvl w:val="0"/>
          <w:numId w:val="1"/>
        </w:num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r>
        <w:rPr>
          <w:rFonts w:ascii="Arial" w:eastAsia="Arial" w:hAnsi="Arial" w:cs="Times New Roman (Body CS)"/>
          <w:color w:val="64777E"/>
          <w:kern w:val="0"/>
          <w:sz w:val="18"/>
          <w:szCs w:val="22"/>
          <w14:ligatures w14:val="none"/>
        </w:rPr>
        <w:t>Buy/Sell Spread = 0.25%/0.25%</w:t>
      </w:r>
    </w:p>
    <w:p w14:paraId="37414A46" w14:textId="6B32DE18" w:rsidR="007E74F1" w:rsidRPr="007E74F1" w:rsidRDefault="007E74F1" w:rsidP="007E74F1">
      <w:pPr>
        <w:numPr>
          <w:ilvl w:val="0"/>
          <w:numId w:val="1"/>
        </w:num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r>
        <w:rPr>
          <w:rFonts w:ascii="Arial" w:eastAsia="Arial" w:hAnsi="Arial" w:cs="Times New Roman (Body CS)"/>
          <w:color w:val="64777E"/>
          <w:kern w:val="0"/>
          <w:sz w:val="18"/>
          <w:szCs w:val="22"/>
          <w14:ligatures w14:val="none"/>
        </w:rPr>
        <w:t xml:space="preserve">Risk Level = High </w:t>
      </w:r>
    </w:p>
    <w:p w14:paraId="04C69E64" w14:textId="07E1E005" w:rsidR="00BE550E" w:rsidRPr="007E3521" w:rsidRDefault="00BE550E" w:rsidP="00BE550E">
      <w:pPr>
        <w:pStyle w:val="BasicParagraph"/>
        <w:spacing w:after="0" w:line="276" w:lineRule="auto"/>
        <w:rPr>
          <w:rFonts w:asciiTheme="majorHAnsi" w:hAnsiTheme="majorHAnsi" w:cstheme="majorHAnsi"/>
          <w:sz w:val="24"/>
          <w:highlight w:val="yellow"/>
        </w:rPr>
      </w:pPr>
    </w:p>
    <w:p w14:paraId="52B71DD2" w14:textId="05A6623A" w:rsidR="00BE550E" w:rsidRPr="005929C9" w:rsidRDefault="00E05374" w:rsidP="00BE550E">
      <w:pPr>
        <w:pStyle w:val="paragraph"/>
        <w:spacing w:before="0" w:beforeAutospacing="0" w:after="0" w:afterAutospacing="0"/>
        <w:textAlignment w:val="baseline"/>
        <w:rPr>
          <w:rStyle w:val="normaltextrun"/>
          <w:rFonts w:ascii="Arial" w:eastAsiaTheme="majorEastAsia" w:hAnsi="Arial" w:cs="Arial"/>
          <w:color w:val="64777E"/>
          <w:sz w:val="18"/>
          <w:szCs w:val="18"/>
          <w:lang w:val="en-US"/>
        </w:rPr>
      </w:pPr>
      <w:r>
        <w:rPr>
          <w:rStyle w:val="normaltextrun"/>
          <w:rFonts w:ascii="Arial" w:eastAsiaTheme="majorEastAsia" w:hAnsi="Arial" w:cs="Arial"/>
          <w:color w:val="64777E"/>
          <w:sz w:val="18"/>
          <w:szCs w:val="18"/>
          <w:lang w:val="en-US"/>
        </w:rPr>
        <w:t>T</w:t>
      </w:r>
      <w:r w:rsidR="00BE550E" w:rsidRPr="005929C9">
        <w:rPr>
          <w:rStyle w:val="normaltextrun"/>
          <w:rFonts w:ascii="Arial" w:eastAsiaTheme="majorEastAsia" w:hAnsi="Arial" w:cs="Arial"/>
          <w:color w:val="64777E"/>
          <w:sz w:val="18"/>
          <w:szCs w:val="18"/>
          <w:lang w:val="en-US"/>
        </w:rPr>
        <w:t xml:space="preserve">he total fee load is high in </w:t>
      </w:r>
      <w:r w:rsidRPr="005929C9">
        <w:rPr>
          <w:rStyle w:val="normaltextrun"/>
          <w:rFonts w:ascii="Arial" w:eastAsiaTheme="majorEastAsia" w:hAnsi="Arial" w:cs="Arial"/>
          <w:color w:val="64777E"/>
          <w:sz w:val="18"/>
          <w:szCs w:val="18"/>
          <w:lang w:val="en-US"/>
        </w:rPr>
        <w:t>an absolute</w:t>
      </w:r>
      <w:r w:rsidR="00BE550E" w:rsidRPr="005929C9">
        <w:rPr>
          <w:rStyle w:val="normaltextrun"/>
          <w:rFonts w:ascii="Arial" w:eastAsiaTheme="majorEastAsia" w:hAnsi="Arial" w:cs="Arial"/>
          <w:color w:val="64777E"/>
          <w:sz w:val="18"/>
          <w:szCs w:val="18"/>
          <w:lang w:val="en-US"/>
        </w:rPr>
        <w:t xml:space="preserve"> sense</w:t>
      </w:r>
      <w:r>
        <w:rPr>
          <w:rStyle w:val="normaltextrun"/>
          <w:rFonts w:ascii="Arial" w:eastAsiaTheme="majorEastAsia" w:hAnsi="Arial" w:cs="Arial"/>
          <w:color w:val="64777E"/>
          <w:sz w:val="18"/>
          <w:szCs w:val="18"/>
          <w:lang w:val="en-US"/>
        </w:rPr>
        <w:t xml:space="preserve"> and </w:t>
      </w:r>
      <w:r w:rsidR="00BE550E" w:rsidRPr="005929C9">
        <w:rPr>
          <w:rStyle w:val="normaltextrun"/>
          <w:rFonts w:ascii="Arial" w:eastAsiaTheme="majorEastAsia" w:hAnsi="Arial" w:cs="Arial"/>
          <w:color w:val="64777E"/>
          <w:sz w:val="18"/>
          <w:szCs w:val="18"/>
          <w:lang w:val="en-US"/>
        </w:rPr>
        <w:t xml:space="preserve">on a peer-relative basis it is deemed to be </w:t>
      </w:r>
      <w:r>
        <w:rPr>
          <w:rStyle w:val="normaltextrun"/>
          <w:rFonts w:ascii="Arial" w:eastAsiaTheme="majorEastAsia" w:hAnsi="Arial" w:cs="Arial"/>
          <w:color w:val="64777E"/>
          <w:sz w:val="18"/>
          <w:szCs w:val="18"/>
          <w:lang w:val="en-US"/>
        </w:rPr>
        <w:t>above the median of</w:t>
      </w:r>
      <w:r w:rsidR="00BE550E" w:rsidRPr="005929C9">
        <w:rPr>
          <w:rStyle w:val="normaltextrun"/>
          <w:rFonts w:ascii="Arial" w:eastAsiaTheme="majorEastAsia" w:hAnsi="Arial" w:cs="Arial"/>
          <w:color w:val="64777E"/>
          <w:sz w:val="18"/>
          <w:szCs w:val="18"/>
          <w:lang w:val="en-US"/>
        </w:rPr>
        <w:t xml:space="preserve"> fundamental </w:t>
      </w:r>
      <w:r w:rsidR="00BE550E">
        <w:rPr>
          <w:rStyle w:val="normaltextrun"/>
          <w:rFonts w:ascii="Arial" w:eastAsiaTheme="majorEastAsia" w:hAnsi="Arial" w:cs="Arial"/>
          <w:color w:val="64777E"/>
          <w:sz w:val="18"/>
          <w:szCs w:val="18"/>
          <w:lang w:val="en-US"/>
        </w:rPr>
        <w:t xml:space="preserve">small- cap </w:t>
      </w:r>
      <w:r w:rsidR="00BE550E" w:rsidRPr="005929C9">
        <w:rPr>
          <w:rStyle w:val="normaltextrun"/>
          <w:rFonts w:ascii="Arial" w:eastAsiaTheme="majorEastAsia" w:hAnsi="Arial" w:cs="Arial"/>
          <w:color w:val="64777E"/>
          <w:sz w:val="18"/>
          <w:szCs w:val="18"/>
          <w:lang w:val="en-US"/>
        </w:rPr>
        <w:t xml:space="preserve">peers. </w:t>
      </w:r>
    </w:p>
    <w:p w14:paraId="55FFE3AB" w14:textId="77777777" w:rsidR="00BE550E" w:rsidRDefault="00BE550E" w:rsidP="00BE550E">
      <w:pPr>
        <w:pStyle w:val="paragraph"/>
        <w:spacing w:before="0" w:beforeAutospacing="0" w:after="0" w:afterAutospacing="0"/>
        <w:textAlignment w:val="baseline"/>
        <w:rPr>
          <w:rStyle w:val="normaltextrun"/>
          <w:rFonts w:ascii="Arial" w:eastAsiaTheme="majorEastAsia" w:hAnsi="Arial" w:cs="Arial"/>
          <w:color w:val="76C204"/>
          <w:sz w:val="28"/>
          <w:szCs w:val="28"/>
        </w:rPr>
      </w:pPr>
    </w:p>
    <w:p w14:paraId="54CE03EB" w14:textId="77777777" w:rsidR="00BE550E" w:rsidRDefault="00BE550E" w:rsidP="00BE550E">
      <w:pPr>
        <w:pBdr>
          <w:top w:val="nil"/>
          <w:left w:val="nil"/>
          <w:bottom w:val="nil"/>
          <w:right w:val="nil"/>
          <w:between w:val="nil"/>
        </w:pBdr>
        <w:spacing w:after="0"/>
        <w:rPr>
          <w:rFonts w:eastAsia="Calibri"/>
          <w:color w:val="76C204"/>
          <w:sz w:val="28"/>
          <w:szCs w:val="28"/>
        </w:rPr>
      </w:pPr>
      <w:r w:rsidRPr="001F74BD">
        <w:rPr>
          <w:rFonts w:eastAsia="Calibri"/>
          <w:color w:val="76C204"/>
          <w:sz w:val="28"/>
          <w:szCs w:val="28"/>
        </w:rPr>
        <w:t>INVEST</w:t>
      </w:r>
      <w:r>
        <w:rPr>
          <w:rFonts w:eastAsia="Calibri"/>
          <w:color w:val="76C204"/>
          <w:sz w:val="28"/>
          <w:szCs w:val="28"/>
        </w:rPr>
        <w:t>I</w:t>
      </w:r>
      <w:r w:rsidRPr="001F74BD">
        <w:rPr>
          <w:rFonts w:eastAsia="Calibri"/>
          <w:color w:val="76C204"/>
          <w:sz w:val="28"/>
          <w:szCs w:val="28"/>
        </w:rPr>
        <w:t>BLE STATUS</w:t>
      </w:r>
    </w:p>
    <w:p w14:paraId="7E791E51" w14:textId="7B8BC867" w:rsidR="00BE550E" w:rsidRPr="0093375D" w:rsidRDefault="00BE550E" w:rsidP="00BE550E">
      <w:pPr>
        <w:autoSpaceDE w:val="0"/>
        <w:autoSpaceDN w:val="0"/>
        <w:adjustRightInd w:val="0"/>
        <w:spacing w:after="0"/>
        <w:rPr>
          <w:rStyle w:val="normaltextrun"/>
          <w:rFonts w:ascii="Arial" w:eastAsiaTheme="majorEastAsia" w:hAnsi="Arial" w:cs="Arial"/>
          <w:color w:val="64777E"/>
          <w:kern w:val="0"/>
          <w:sz w:val="18"/>
          <w:szCs w:val="18"/>
          <w:lang w:val="en-US" w:eastAsia="en-AU"/>
          <w14:ligatures w14:val="none"/>
        </w:rPr>
      </w:pPr>
      <w:r w:rsidRPr="0093375D">
        <w:rPr>
          <w:rStyle w:val="normaltextrun"/>
          <w:rFonts w:ascii="Arial" w:eastAsiaTheme="majorEastAsia" w:hAnsi="Arial" w:cs="Arial"/>
          <w:color w:val="64777E"/>
          <w:kern w:val="0"/>
          <w:sz w:val="18"/>
          <w:szCs w:val="18"/>
          <w:lang w:val="en-US" w:eastAsia="en-AU"/>
          <w14:ligatures w14:val="none"/>
        </w:rPr>
        <w:t>The Fund is open to wholesale and retail investors</w:t>
      </w:r>
      <w:r w:rsidR="00E05374">
        <w:rPr>
          <w:rStyle w:val="normaltextrun"/>
          <w:rFonts w:ascii="Arial" w:eastAsiaTheme="majorEastAsia" w:hAnsi="Arial" w:cs="Arial"/>
          <w:color w:val="64777E"/>
          <w:kern w:val="0"/>
          <w:sz w:val="18"/>
          <w:szCs w:val="18"/>
          <w:lang w:val="en-US" w:eastAsia="en-AU"/>
          <w14:ligatures w14:val="none"/>
        </w:rPr>
        <w:t>, a</w:t>
      </w:r>
      <w:r w:rsidRPr="0093375D">
        <w:rPr>
          <w:rStyle w:val="normaltextrun"/>
          <w:rFonts w:ascii="Arial" w:eastAsiaTheme="majorEastAsia" w:hAnsi="Arial" w:cs="Arial"/>
          <w:color w:val="64777E"/>
          <w:kern w:val="0"/>
          <w:sz w:val="18"/>
          <w:szCs w:val="18"/>
          <w:lang w:val="en-US" w:eastAsia="en-AU"/>
          <w14:ligatures w14:val="none"/>
        </w:rPr>
        <w:t>vailable on platforms.</w:t>
      </w:r>
      <w:r w:rsidR="00E05374">
        <w:rPr>
          <w:rStyle w:val="normaltextrun"/>
          <w:rFonts w:ascii="Arial" w:eastAsiaTheme="majorEastAsia" w:hAnsi="Arial" w:cs="Arial"/>
          <w:color w:val="64777E"/>
          <w:kern w:val="0"/>
          <w:sz w:val="18"/>
          <w:szCs w:val="18"/>
          <w:lang w:val="en-US" w:eastAsia="en-AU"/>
          <w14:ligatures w14:val="none"/>
        </w:rPr>
        <w:t xml:space="preserve"> Plenty of capacity remaining for investment.</w:t>
      </w:r>
    </w:p>
    <w:p w14:paraId="078D025D" w14:textId="77777777" w:rsidR="00BE550E" w:rsidRDefault="00BE550E" w:rsidP="00BE550E">
      <w:pPr>
        <w:pStyle w:val="paragraph"/>
        <w:spacing w:before="0" w:beforeAutospacing="0" w:after="0" w:afterAutospacing="0"/>
        <w:textAlignment w:val="baseline"/>
        <w:rPr>
          <w:rStyle w:val="normaltextrun"/>
          <w:rFonts w:ascii="Arial" w:eastAsiaTheme="majorEastAsia" w:hAnsi="Arial" w:cs="Arial"/>
          <w:color w:val="76C204"/>
          <w:sz w:val="28"/>
          <w:szCs w:val="28"/>
        </w:rPr>
      </w:pPr>
    </w:p>
    <w:p w14:paraId="47A063DB" w14:textId="77777777" w:rsidR="00BE550E" w:rsidRDefault="00BE550E" w:rsidP="00BE550E">
      <w:pPr>
        <w:pStyle w:val="paragraph"/>
        <w:spacing w:before="0" w:beforeAutospacing="0" w:after="0" w:afterAutospacing="0"/>
        <w:textAlignment w:val="baseline"/>
        <w:rPr>
          <w:rStyle w:val="normaltextrun"/>
          <w:rFonts w:ascii="Arial" w:eastAsiaTheme="majorEastAsia" w:hAnsi="Arial" w:cs="Arial"/>
          <w:color w:val="76C204"/>
          <w:sz w:val="28"/>
          <w:szCs w:val="28"/>
        </w:rPr>
      </w:pPr>
      <w:r>
        <w:rPr>
          <w:rStyle w:val="normaltextrun"/>
          <w:rFonts w:ascii="Arial" w:eastAsiaTheme="majorEastAsia" w:hAnsi="Arial" w:cs="Arial"/>
          <w:color w:val="76C204"/>
          <w:sz w:val="28"/>
          <w:szCs w:val="28"/>
        </w:rPr>
        <w:t>BUSINESS</w:t>
      </w:r>
    </w:p>
    <w:p w14:paraId="6F2399A1" w14:textId="225635D9" w:rsidR="00BE550E" w:rsidRPr="00A23C45" w:rsidRDefault="00E05374" w:rsidP="00BE550E">
      <w:pPr>
        <w:pStyle w:val="paragraph"/>
        <w:spacing w:before="0" w:beforeAutospacing="0" w:after="0" w:afterAutospacing="0"/>
        <w:textAlignment w:val="baseline"/>
        <w:rPr>
          <w:rStyle w:val="normaltextrun"/>
          <w:rFonts w:ascii="Arial" w:eastAsiaTheme="majorEastAsia" w:hAnsi="Arial" w:cs="Arial"/>
          <w:color w:val="64777E"/>
          <w:sz w:val="18"/>
          <w:szCs w:val="18"/>
          <w:lang w:val="en-US"/>
        </w:rPr>
      </w:pPr>
      <w:r>
        <w:rPr>
          <w:rStyle w:val="normaltextrun"/>
          <w:rFonts w:ascii="Arial" w:eastAsiaTheme="majorEastAsia" w:hAnsi="Arial" w:cs="Arial"/>
          <w:color w:val="64777E"/>
          <w:sz w:val="18"/>
          <w:szCs w:val="18"/>
          <w:lang w:val="en-US"/>
        </w:rPr>
        <w:t xml:space="preserve">Fairlight is an Australian based International Equities Manager. Established in November 2018 by Nicholas Cregan, they offer one strategy, which is the Fairlight Global Small &amp; Mid Cap Fund. Fairlight is 50% employee owned with the remaining 50% stake held by Perennial. Perennial provides back-office support and is responsible for the distribution of the Fund. </w:t>
      </w:r>
    </w:p>
    <w:p w14:paraId="2946E9B1" w14:textId="77777777" w:rsidR="00BE550E" w:rsidRPr="00A23C45" w:rsidRDefault="00BE550E" w:rsidP="00BE550E">
      <w:pPr>
        <w:pStyle w:val="paragraph"/>
        <w:spacing w:before="0" w:beforeAutospacing="0" w:after="0" w:afterAutospacing="0"/>
        <w:textAlignment w:val="baseline"/>
        <w:rPr>
          <w:rFonts w:eastAsiaTheme="majorEastAsia"/>
          <w:color w:val="64777E"/>
          <w:lang w:val="en-US"/>
        </w:rPr>
      </w:pPr>
    </w:p>
    <w:p w14:paraId="207FF1A9" w14:textId="77777777" w:rsidR="00BE550E" w:rsidRDefault="00BE550E" w:rsidP="00BE550E">
      <w:pPr>
        <w:pStyle w:val="paragraph"/>
        <w:spacing w:before="0" w:beforeAutospacing="0" w:after="0" w:afterAutospacing="0"/>
        <w:textAlignment w:val="baseline"/>
        <w:rPr>
          <w:rStyle w:val="eop"/>
          <w:rFonts w:ascii="Arial" w:eastAsiaTheme="majorEastAsia" w:hAnsi="Arial" w:cs="Arial"/>
          <w:color w:val="76C204"/>
          <w:sz w:val="28"/>
          <w:szCs w:val="28"/>
        </w:rPr>
      </w:pPr>
      <w:r>
        <w:rPr>
          <w:rStyle w:val="normaltextrun"/>
          <w:rFonts w:ascii="Arial" w:eastAsiaTheme="majorEastAsia" w:hAnsi="Arial" w:cs="Arial"/>
          <w:color w:val="76C204"/>
          <w:sz w:val="28"/>
          <w:szCs w:val="28"/>
        </w:rPr>
        <w:t>INVESTMENT TEAM</w:t>
      </w:r>
      <w:r>
        <w:rPr>
          <w:rStyle w:val="eop"/>
          <w:rFonts w:ascii="Arial" w:eastAsiaTheme="majorEastAsia" w:hAnsi="Arial" w:cs="Arial"/>
          <w:color w:val="76C204"/>
          <w:sz w:val="28"/>
          <w:szCs w:val="28"/>
        </w:rPr>
        <w:t> </w:t>
      </w:r>
    </w:p>
    <w:p w14:paraId="6766A95F" w14:textId="77777777" w:rsidR="00BE550E" w:rsidRDefault="00BE550E" w:rsidP="00BE550E">
      <w:pPr>
        <w:pStyle w:val="paragraph"/>
        <w:spacing w:before="0" w:beforeAutospacing="0" w:after="0" w:afterAutospacing="0"/>
        <w:textAlignment w:val="baseline"/>
        <w:rPr>
          <w:rFonts w:ascii="Segoe UI" w:hAnsi="Segoe UI" w:cs="Segoe UI"/>
          <w:color w:val="4A585E"/>
          <w:sz w:val="18"/>
          <w:szCs w:val="18"/>
        </w:rPr>
      </w:pPr>
    </w:p>
    <w:p w14:paraId="060F4127" w14:textId="004072C6" w:rsidR="00BE550E" w:rsidRDefault="00E05374" w:rsidP="00BE550E">
      <w:pPr>
        <w:pStyle w:val="paragraph"/>
        <w:spacing w:before="0" w:beforeAutospacing="0" w:after="0" w:afterAutospacing="0"/>
        <w:textAlignment w:val="baseline"/>
        <w:rPr>
          <w:rStyle w:val="normaltextrun"/>
          <w:rFonts w:ascii="Arial" w:eastAsiaTheme="majorEastAsia" w:hAnsi="Arial" w:cs="Arial"/>
          <w:color w:val="64777E"/>
          <w:sz w:val="18"/>
          <w:szCs w:val="18"/>
        </w:rPr>
      </w:pPr>
      <w:r>
        <w:rPr>
          <w:rStyle w:val="normaltextrun"/>
          <w:rFonts w:ascii="Arial" w:eastAsiaTheme="majorEastAsia" w:hAnsi="Arial" w:cs="Arial"/>
          <w:color w:val="64777E"/>
          <w:sz w:val="18"/>
          <w:szCs w:val="18"/>
        </w:rPr>
        <w:t xml:space="preserve">The Investment team is </w:t>
      </w:r>
      <w:r w:rsidR="006835F7">
        <w:rPr>
          <w:rStyle w:val="normaltextrun"/>
          <w:rFonts w:ascii="Arial" w:eastAsiaTheme="majorEastAsia" w:hAnsi="Arial" w:cs="Arial"/>
          <w:color w:val="64777E"/>
          <w:sz w:val="18"/>
          <w:szCs w:val="18"/>
        </w:rPr>
        <w:t>led</w:t>
      </w:r>
      <w:r>
        <w:rPr>
          <w:rStyle w:val="normaltextrun"/>
          <w:rFonts w:ascii="Arial" w:eastAsiaTheme="majorEastAsia" w:hAnsi="Arial" w:cs="Arial"/>
          <w:color w:val="64777E"/>
          <w:sz w:val="18"/>
          <w:szCs w:val="18"/>
        </w:rPr>
        <w:t xml:space="preserve"> by Nicholas Cregan who has ultimate decision-making authority. Cregan is supported by three portfolio managers and one quantitative analyst. </w:t>
      </w:r>
      <w:r w:rsidR="00157140">
        <w:rPr>
          <w:rStyle w:val="normaltextrun"/>
          <w:rFonts w:ascii="Arial" w:eastAsiaTheme="majorEastAsia" w:hAnsi="Arial" w:cs="Arial"/>
          <w:color w:val="64777E"/>
          <w:sz w:val="18"/>
          <w:szCs w:val="18"/>
        </w:rPr>
        <w:t xml:space="preserve">Whilst the team is small for the size of the universe, we are cognisant of the robust quality screens that are used to narrow the universe to a much more manageable level. As such, the team is considered to be sufficiently resourced. </w:t>
      </w:r>
    </w:p>
    <w:p w14:paraId="5524966B" w14:textId="77777777" w:rsidR="00157140" w:rsidRDefault="00157140" w:rsidP="00BE550E">
      <w:pPr>
        <w:pStyle w:val="paragraph"/>
        <w:spacing w:before="0" w:beforeAutospacing="0" w:after="0" w:afterAutospacing="0"/>
        <w:textAlignment w:val="baseline"/>
        <w:rPr>
          <w:rStyle w:val="normaltextrun"/>
          <w:rFonts w:ascii="Arial" w:eastAsiaTheme="majorEastAsia" w:hAnsi="Arial" w:cs="Arial"/>
          <w:color w:val="64777E"/>
          <w:sz w:val="18"/>
          <w:szCs w:val="18"/>
        </w:rPr>
      </w:pPr>
    </w:p>
    <w:p w14:paraId="067BA2D8" w14:textId="4BA4DDF6" w:rsidR="00157140" w:rsidRDefault="00157140" w:rsidP="00BE550E">
      <w:pPr>
        <w:pStyle w:val="paragraph"/>
        <w:spacing w:before="0" w:beforeAutospacing="0" w:after="0" w:afterAutospacing="0"/>
        <w:textAlignment w:val="baseline"/>
        <w:rPr>
          <w:rStyle w:val="normaltextrun"/>
          <w:rFonts w:ascii="Arial" w:eastAsiaTheme="majorEastAsia" w:hAnsi="Arial" w:cs="Arial"/>
          <w:color w:val="64777E"/>
          <w:sz w:val="18"/>
          <w:szCs w:val="18"/>
        </w:rPr>
      </w:pPr>
      <w:r>
        <w:rPr>
          <w:rStyle w:val="normaltextrun"/>
          <w:rFonts w:ascii="Arial" w:eastAsiaTheme="majorEastAsia" w:hAnsi="Arial" w:cs="Arial"/>
          <w:color w:val="64777E"/>
          <w:sz w:val="18"/>
          <w:szCs w:val="18"/>
        </w:rPr>
        <w:t xml:space="preserve">Track record and co-tenure amongst the team is on the lower end compared to peers, however, recent additions are considered highly capable and welcome resources. Pleasingly Nicholas Cregan and Will Dowd have a long working relationship having worked together at Evand &amp; Partners before Fairlight. </w:t>
      </w:r>
    </w:p>
    <w:p w14:paraId="124333A9" w14:textId="77777777" w:rsidR="00BE550E" w:rsidRDefault="00BE550E" w:rsidP="00BE550E">
      <w:pPr>
        <w:pStyle w:val="paragraph"/>
        <w:spacing w:before="0" w:beforeAutospacing="0" w:after="0" w:afterAutospacing="0"/>
        <w:textAlignment w:val="baseline"/>
        <w:rPr>
          <w:rStyle w:val="eop"/>
          <w:rFonts w:ascii="Arial" w:eastAsiaTheme="majorEastAsia" w:hAnsi="Arial" w:cs="Arial"/>
          <w:color w:val="64777E"/>
          <w:sz w:val="18"/>
          <w:szCs w:val="18"/>
        </w:rPr>
      </w:pPr>
    </w:p>
    <w:p w14:paraId="3721A09A" w14:textId="77777777" w:rsidR="00BE550E" w:rsidRDefault="00BE550E" w:rsidP="00BE550E">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76C204"/>
          <w:sz w:val="22"/>
          <w:szCs w:val="22"/>
        </w:rPr>
      </w:pPr>
      <w:r>
        <w:rPr>
          <w:rStyle w:val="normaltextrun"/>
          <w:rFonts w:ascii="Arial" w:eastAsiaTheme="majorEastAsia" w:hAnsi="Arial" w:cs="Arial"/>
          <w:color w:val="76C204"/>
          <w:sz w:val="22"/>
          <w:szCs w:val="22"/>
        </w:rPr>
        <w:t xml:space="preserve">Remuneration and Incentives </w:t>
      </w:r>
    </w:p>
    <w:p w14:paraId="201B155B" w14:textId="5B80C138" w:rsidR="00BE550E" w:rsidRDefault="00BE550E" w:rsidP="00BE550E">
      <w:pPr>
        <w:pStyle w:val="paragraph"/>
        <w:spacing w:before="0" w:beforeAutospacing="0" w:after="0" w:afterAutospacing="0"/>
        <w:textAlignment w:val="baseline"/>
        <w:rPr>
          <w:rStyle w:val="normaltextrun"/>
          <w:rFonts w:ascii="Arial" w:eastAsiaTheme="majorEastAsia" w:hAnsi="Arial" w:cs="Arial"/>
          <w:color w:val="64777E"/>
          <w:sz w:val="18"/>
          <w:szCs w:val="18"/>
        </w:rPr>
      </w:pPr>
      <w:r>
        <w:rPr>
          <w:rStyle w:val="normaltextrun"/>
          <w:rFonts w:ascii="Arial" w:eastAsiaTheme="majorEastAsia" w:hAnsi="Arial" w:cs="Arial"/>
          <w:color w:val="64777E"/>
          <w:sz w:val="18"/>
          <w:szCs w:val="18"/>
        </w:rPr>
        <w:t xml:space="preserve">Pleasing </w:t>
      </w:r>
      <w:r w:rsidR="00157140">
        <w:rPr>
          <w:rStyle w:val="normaltextrun"/>
          <w:rFonts w:ascii="Arial" w:eastAsiaTheme="majorEastAsia" w:hAnsi="Arial" w:cs="Arial"/>
          <w:color w:val="64777E"/>
          <w:sz w:val="18"/>
          <w:szCs w:val="18"/>
        </w:rPr>
        <w:t>all</w:t>
      </w:r>
      <w:r>
        <w:rPr>
          <w:rStyle w:val="normaltextrun"/>
          <w:rFonts w:ascii="Arial" w:eastAsiaTheme="majorEastAsia" w:hAnsi="Arial" w:cs="Arial"/>
          <w:color w:val="64777E"/>
          <w:sz w:val="18"/>
          <w:szCs w:val="18"/>
        </w:rPr>
        <w:t xml:space="preserve"> PMs are equity holders in the business and have a profit share arrangement. In addition to this they are </w:t>
      </w:r>
      <w:r w:rsidR="00157140">
        <w:rPr>
          <w:rStyle w:val="normaltextrun"/>
          <w:rFonts w:ascii="Arial" w:eastAsiaTheme="majorEastAsia" w:hAnsi="Arial" w:cs="Arial"/>
          <w:color w:val="64777E"/>
          <w:sz w:val="18"/>
          <w:szCs w:val="18"/>
        </w:rPr>
        <w:t>all</w:t>
      </w:r>
      <w:r>
        <w:rPr>
          <w:rStyle w:val="normaltextrun"/>
          <w:rFonts w:ascii="Arial" w:eastAsiaTheme="majorEastAsia" w:hAnsi="Arial" w:cs="Arial"/>
          <w:color w:val="64777E"/>
          <w:sz w:val="18"/>
          <w:szCs w:val="18"/>
        </w:rPr>
        <w:t xml:space="preserve"> significantly co-invested in the Fund. Whilst there is no direct performance bonus based on the outperformance of the Fund, the equity structure and co-investment </w:t>
      </w:r>
      <w:proofErr w:type="gramStart"/>
      <w:r>
        <w:rPr>
          <w:rStyle w:val="normaltextrun"/>
          <w:rFonts w:ascii="Arial" w:eastAsiaTheme="majorEastAsia" w:hAnsi="Arial" w:cs="Arial"/>
          <w:color w:val="64777E"/>
          <w:sz w:val="18"/>
          <w:szCs w:val="18"/>
        </w:rPr>
        <w:t>is</w:t>
      </w:r>
      <w:proofErr w:type="gramEnd"/>
      <w:r>
        <w:rPr>
          <w:rStyle w:val="normaltextrun"/>
          <w:rFonts w:ascii="Arial" w:eastAsiaTheme="majorEastAsia" w:hAnsi="Arial" w:cs="Arial"/>
          <w:color w:val="64777E"/>
          <w:sz w:val="18"/>
          <w:szCs w:val="18"/>
        </w:rPr>
        <w:t xml:space="preserve"> seen as sufficient and the co-PMs are considered to be adequately aligned with investors. </w:t>
      </w:r>
    </w:p>
    <w:p w14:paraId="4A0EFCA1" w14:textId="77777777" w:rsidR="00BE550E" w:rsidRDefault="00BE550E" w:rsidP="00BE550E">
      <w:pPr>
        <w:pStyle w:val="paragraph"/>
        <w:spacing w:before="0" w:beforeAutospacing="0" w:after="0" w:afterAutospacing="0"/>
        <w:textAlignment w:val="baseline"/>
        <w:rPr>
          <w:rStyle w:val="normaltextrun"/>
          <w:rFonts w:ascii="Arial" w:eastAsiaTheme="majorEastAsia" w:hAnsi="Arial" w:cs="Arial"/>
          <w:color w:val="64777E"/>
          <w:sz w:val="18"/>
          <w:szCs w:val="18"/>
        </w:rPr>
      </w:pPr>
    </w:p>
    <w:p w14:paraId="3BFE8BA6" w14:textId="77777777" w:rsidR="00BE550E" w:rsidRDefault="00BE550E" w:rsidP="00BE550E">
      <w:pPr>
        <w:pStyle w:val="paragraph"/>
        <w:spacing w:before="0" w:beforeAutospacing="0" w:after="0" w:afterAutospacing="0"/>
        <w:textAlignment w:val="baseline"/>
        <w:rPr>
          <w:rStyle w:val="normaltextrun"/>
          <w:rFonts w:ascii="Arial" w:eastAsiaTheme="majorEastAsia" w:hAnsi="Arial" w:cs="Arial"/>
          <w:color w:val="64777E"/>
          <w:sz w:val="18"/>
          <w:szCs w:val="18"/>
        </w:rPr>
      </w:pPr>
      <w:r>
        <w:rPr>
          <w:rStyle w:val="normaltextrun"/>
          <w:rFonts w:ascii="Arial" w:eastAsiaTheme="majorEastAsia" w:hAnsi="Arial" w:cs="Arial"/>
          <w:color w:val="76C204"/>
          <w:sz w:val="22"/>
          <w:szCs w:val="22"/>
        </w:rPr>
        <w:t>Key Person Risk</w:t>
      </w:r>
    </w:p>
    <w:p w14:paraId="4C0B6710" w14:textId="2E5EEA9E" w:rsidR="00BE550E" w:rsidRDefault="00BE550E" w:rsidP="00BE550E">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64777E"/>
          <w:sz w:val="18"/>
          <w:szCs w:val="18"/>
        </w:rPr>
      </w:pPr>
      <w:r w:rsidRPr="00FB3C6A">
        <w:rPr>
          <w:rStyle w:val="normaltextrun"/>
          <w:rFonts w:ascii="Arial" w:eastAsiaTheme="majorEastAsia" w:hAnsi="Arial" w:cs="Arial"/>
          <w:color w:val="64777E"/>
          <w:sz w:val="18"/>
          <w:szCs w:val="18"/>
        </w:rPr>
        <w:t xml:space="preserve">A departure of </w:t>
      </w:r>
      <w:r w:rsidR="00157140">
        <w:rPr>
          <w:rStyle w:val="normaltextrun"/>
          <w:rFonts w:ascii="Arial" w:eastAsiaTheme="majorEastAsia" w:hAnsi="Arial" w:cs="Arial"/>
          <w:color w:val="64777E"/>
          <w:sz w:val="18"/>
          <w:szCs w:val="18"/>
        </w:rPr>
        <w:t xml:space="preserve">Nicholas Cregan </w:t>
      </w:r>
      <w:r w:rsidRPr="00FB3C6A">
        <w:rPr>
          <w:rStyle w:val="normaltextrun"/>
          <w:rFonts w:ascii="Arial" w:eastAsiaTheme="majorEastAsia" w:hAnsi="Arial" w:cs="Arial"/>
          <w:color w:val="64777E"/>
          <w:sz w:val="18"/>
          <w:szCs w:val="18"/>
        </w:rPr>
        <w:t xml:space="preserve">would be a considerable loss for the Fund and would trigger a re-assessment of the investment case. </w:t>
      </w:r>
      <w:r w:rsidR="00157140">
        <w:rPr>
          <w:rStyle w:val="normaltextrun"/>
          <w:rFonts w:ascii="Arial" w:eastAsiaTheme="majorEastAsia" w:hAnsi="Arial" w:cs="Arial"/>
          <w:color w:val="64777E"/>
          <w:sz w:val="18"/>
          <w:szCs w:val="18"/>
        </w:rPr>
        <w:t xml:space="preserve">However, his considerable equity in the business and being a founder makes this an unlikely event. </w:t>
      </w:r>
    </w:p>
    <w:p w14:paraId="6C7DB9A3" w14:textId="77777777" w:rsidR="00BE550E" w:rsidRDefault="00BE550E" w:rsidP="00BE550E">
      <w:pPr>
        <w:pStyle w:val="paragraph"/>
        <w:shd w:val="clear" w:color="auto" w:fill="FFFFFF"/>
        <w:spacing w:before="0" w:beforeAutospacing="0" w:after="0" w:afterAutospacing="0"/>
        <w:jc w:val="both"/>
        <w:textAlignment w:val="baseline"/>
        <w:rPr>
          <w:rStyle w:val="normaltextrun"/>
          <w:rFonts w:eastAsia="Calibri"/>
          <w:color w:val="76C204"/>
          <w:sz w:val="22"/>
          <w:szCs w:val="22"/>
        </w:rPr>
      </w:pPr>
    </w:p>
    <w:p w14:paraId="2E47807A" w14:textId="77777777" w:rsidR="00BE550E" w:rsidRDefault="00BE550E" w:rsidP="00BE550E">
      <w:pPr>
        <w:pBdr>
          <w:top w:val="nil"/>
          <w:left w:val="nil"/>
          <w:bottom w:val="nil"/>
          <w:right w:val="nil"/>
          <w:between w:val="nil"/>
        </w:pBdr>
        <w:spacing w:after="0"/>
        <w:jc w:val="both"/>
        <w:rPr>
          <w:rFonts w:eastAsia="Calibri" w:cs="Times New Roman"/>
          <w:color w:val="76C204"/>
          <w:sz w:val="28"/>
          <w:szCs w:val="28"/>
        </w:rPr>
      </w:pPr>
      <w:r>
        <w:rPr>
          <w:rFonts w:eastAsia="Calibri" w:cs="Times New Roman"/>
          <w:color w:val="76C204"/>
          <w:sz w:val="28"/>
          <w:szCs w:val="28"/>
        </w:rPr>
        <w:t>INVESTMENT PHILOSOPHY AND PROCESS</w:t>
      </w:r>
    </w:p>
    <w:p w14:paraId="08188F48" w14:textId="77777777" w:rsidR="00BE550E" w:rsidRDefault="00BE550E" w:rsidP="00BE550E">
      <w:pPr>
        <w:pStyle w:val="paragraph"/>
        <w:shd w:val="clear" w:color="auto" w:fill="FFFFFF"/>
        <w:spacing w:before="0" w:beforeAutospacing="0" w:after="0" w:afterAutospacing="0"/>
        <w:jc w:val="both"/>
        <w:textAlignment w:val="baseline"/>
        <w:rPr>
          <w:rStyle w:val="normaltextrun"/>
          <w:rFonts w:eastAsia="Calibri"/>
          <w:color w:val="76C204"/>
          <w:sz w:val="22"/>
          <w:szCs w:val="22"/>
        </w:rPr>
      </w:pPr>
    </w:p>
    <w:p w14:paraId="313D7128" w14:textId="77777777" w:rsidR="00BE550E" w:rsidRPr="00992645" w:rsidRDefault="00BE550E" w:rsidP="00BE550E">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sidRPr="00992645">
        <w:rPr>
          <w:rStyle w:val="normaltextrun"/>
          <w:rFonts w:eastAsia="Calibri"/>
          <w:color w:val="76C204"/>
          <w:sz w:val="22"/>
          <w:szCs w:val="22"/>
        </w:rPr>
        <w:t>Investable</w:t>
      </w:r>
      <w:r w:rsidRPr="00992645">
        <w:rPr>
          <w:rFonts w:ascii="Arial" w:eastAsiaTheme="majorEastAsia" w:hAnsi="Arial" w:cs="Arial"/>
          <w:color w:val="64777E"/>
          <w:sz w:val="18"/>
          <w:szCs w:val="18"/>
        </w:rPr>
        <w:t xml:space="preserve"> </w:t>
      </w:r>
      <w:r w:rsidRPr="00992645">
        <w:rPr>
          <w:rStyle w:val="normaltextrun"/>
          <w:rFonts w:eastAsia="Calibri"/>
          <w:color w:val="76C204"/>
          <w:sz w:val="22"/>
          <w:szCs w:val="22"/>
        </w:rPr>
        <w:t>Universe</w:t>
      </w:r>
    </w:p>
    <w:p w14:paraId="1D2AE79F" w14:textId="77777777" w:rsidR="00BE550E" w:rsidRDefault="00BE550E" w:rsidP="00BE550E">
      <w:pPr>
        <w:pBdr>
          <w:top w:val="nil"/>
          <w:left w:val="nil"/>
          <w:bottom w:val="nil"/>
          <w:right w:val="nil"/>
          <w:between w:val="nil"/>
        </w:pBdr>
        <w:spacing w:after="0"/>
        <w:jc w:val="both"/>
        <w:rPr>
          <w:rFonts w:ascii="Arial" w:eastAsiaTheme="majorEastAsia" w:hAnsi="Arial" w:cs="Arial"/>
          <w:color w:val="64777E"/>
          <w:kern w:val="0"/>
          <w:sz w:val="18"/>
          <w:szCs w:val="18"/>
          <w:lang w:eastAsia="en-AU"/>
          <w14:ligatures w14:val="none"/>
        </w:rPr>
      </w:pPr>
    </w:p>
    <w:p w14:paraId="12047B4F" w14:textId="22EBE078" w:rsidR="00BE550E" w:rsidRDefault="00157140" w:rsidP="00BE550E">
      <w:pPr>
        <w:pBdr>
          <w:top w:val="nil"/>
          <w:left w:val="nil"/>
          <w:bottom w:val="nil"/>
          <w:right w:val="nil"/>
          <w:between w:val="nil"/>
        </w:pBdr>
        <w:spacing w:after="0"/>
        <w:jc w:val="both"/>
        <w:rPr>
          <w:rFonts w:ascii="Arial" w:eastAsiaTheme="majorEastAsia" w:hAnsi="Arial" w:cs="Arial"/>
          <w:color w:val="64777E"/>
          <w:kern w:val="0"/>
          <w:sz w:val="18"/>
          <w:szCs w:val="18"/>
          <w:lang w:eastAsia="en-AU"/>
          <w14:ligatures w14:val="none"/>
        </w:rPr>
      </w:pPr>
      <w:r>
        <w:rPr>
          <w:rFonts w:ascii="Arial" w:eastAsiaTheme="majorEastAsia" w:hAnsi="Arial" w:cs="Arial"/>
          <w:color w:val="64777E"/>
          <w:kern w:val="0"/>
          <w:sz w:val="18"/>
          <w:szCs w:val="18"/>
          <w:lang w:eastAsia="en-AU"/>
          <w14:ligatures w14:val="none"/>
        </w:rPr>
        <w:t>T</w:t>
      </w:r>
      <w:r w:rsidR="00BE550E" w:rsidRPr="00992645">
        <w:rPr>
          <w:rFonts w:ascii="Arial" w:eastAsiaTheme="majorEastAsia" w:hAnsi="Arial" w:cs="Arial"/>
          <w:color w:val="64777E"/>
          <w:kern w:val="0"/>
          <w:sz w:val="18"/>
          <w:szCs w:val="18"/>
          <w:lang w:eastAsia="en-AU"/>
          <w14:ligatures w14:val="none"/>
        </w:rPr>
        <w:t>he Fund seeks ideas</w:t>
      </w:r>
      <w:r>
        <w:rPr>
          <w:rFonts w:ascii="Arial" w:eastAsiaTheme="majorEastAsia" w:hAnsi="Arial" w:cs="Arial"/>
          <w:color w:val="64777E"/>
          <w:kern w:val="0"/>
          <w:sz w:val="18"/>
          <w:szCs w:val="18"/>
          <w:lang w:eastAsia="en-AU"/>
          <w14:ligatures w14:val="none"/>
        </w:rPr>
        <w:t xml:space="preserve"> from the global investment universe excluding Australian listed companies</w:t>
      </w:r>
      <w:r w:rsidR="00BE550E">
        <w:rPr>
          <w:rFonts w:ascii="Arial" w:eastAsiaTheme="majorEastAsia" w:hAnsi="Arial" w:cs="Arial"/>
          <w:color w:val="64777E"/>
          <w:kern w:val="0"/>
          <w:sz w:val="18"/>
          <w:szCs w:val="18"/>
          <w:lang w:eastAsia="en-AU"/>
          <w14:ligatures w14:val="none"/>
        </w:rPr>
        <w:t>. T</w:t>
      </w:r>
      <w:r>
        <w:rPr>
          <w:rFonts w:ascii="Arial" w:eastAsiaTheme="majorEastAsia" w:hAnsi="Arial" w:cs="Arial"/>
          <w:color w:val="64777E"/>
          <w:kern w:val="0"/>
          <w:sz w:val="18"/>
          <w:szCs w:val="18"/>
          <w:lang w:eastAsia="en-AU"/>
          <w14:ligatures w14:val="none"/>
        </w:rPr>
        <w:t xml:space="preserve">he Fund will invest in companies between a market cap of US$500mn-$40bn. However, the manager has indicated that their “sweet spot” is companies in the single digit billions of market cap. The Fund is benchmarked against the MSCI World SMID AUD (Net) Index. </w:t>
      </w:r>
    </w:p>
    <w:p w14:paraId="50FB302F" w14:textId="77777777" w:rsidR="00BE550E" w:rsidRPr="00992645" w:rsidRDefault="00BE550E" w:rsidP="00BE550E">
      <w:pPr>
        <w:pBdr>
          <w:top w:val="nil"/>
          <w:left w:val="nil"/>
          <w:bottom w:val="nil"/>
          <w:right w:val="nil"/>
          <w:between w:val="nil"/>
        </w:pBdr>
        <w:spacing w:after="0"/>
        <w:jc w:val="both"/>
        <w:rPr>
          <w:rFonts w:ascii="Arial" w:eastAsiaTheme="majorEastAsia" w:hAnsi="Arial" w:cs="Arial"/>
          <w:color w:val="64777E"/>
          <w:kern w:val="0"/>
          <w:sz w:val="18"/>
          <w:szCs w:val="18"/>
          <w:lang w:eastAsia="en-AU"/>
          <w14:ligatures w14:val="none"/>
        </w:rPr>
      </w:pPr>
    </w:p>
    <w:p w14:paraId="4F74548A" w14:textId="77777777" w:rsidR="00BE550E" w:rsidRDefault="00BE550E" w:rsidP="00BE550E">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sidRPr="00B024A7">
        <w:rPr>
          <w:rStyle w:val="normaltextrun"/>
          <w:rFonts w:eastAsia="Calibri"/>
          <w:color w:val="76C204"/>
          <w:sz w:val="22"/>
          <w:szCs w:val="22"/>
        </w:rPr>
        <w:t>Philosophy</w:t>
      </w:r>
    </w:p>
    <w:p w14:paraId="3CDC0754" w14:textId="77777777" w:rsidR="00BE550E" w:rsidRDefault="00BE550E" w:rsidP="00BE550E">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p>
    <w:p w14:paraId="6011E925" w14:textId="03FC1C8D" w:rsidR="00BE550E" w:rsidRPr="00992645" w:rsidRDefault="00BE550E" w:rsidP="00BE550E">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Pr>
          <w:rFonts w:ascii="Arial" w:eastAsiaTheme="majorEastAsia" w:hAnsi="Arial" w:cs="Arial"/>
          <w:color w:val="64777E"/>
          <w:sz w:val="18"/>
          <w:szCs w:val="18"/>
        </w:rPr>
        <w:t xml:space="preserve">The Manager employs a quality centric </w:t>
      </w:r>
      <w:r w:rsidR="00157140">
        <w:rPr>
          <w:rFonts w:ascii="Arial" w:eastAsiaTheme="majorEastAsia" w:hAnsi="Arial" w:cs="Arial"/>
          <w:color w:val="64777E"/>
          <w:sz w:val="18"/>
          <w:szCs w:val="18"/>
        </w:rPr>
        <w:t xml:space="preserve">philosophy. </w:t>
      </w:r>
      <w:r>
        <w:rPr>
          <w:rFonts w:ascii="Arial" w:eastAsiaTheme="majorEastAsia" w:hAnsi="Arial" w:cs="Arial"/>
          <w:color w:val="64777E"/>
          <w:sz w:val="18"/>
          <w:szCs w:val="18"/>
        </w:rPr>
        <w:t>Primarily the manager aims to identify</w:t>
      </w:r>
      <w:r w:rsidR="00E47A3B">
        <w:rPr>
          <w:rFonts w:ascii="Arial" w:eastAsiaTheme="majorEastAsia" w:hAnsi="Arial" w:cs="Arial"/>
          <w:color w:val="64777E"/>
          <w:sz w:val="18"/>
          <w:szCs w:val="18"/>
        </w:rPr>
        <w:t xml:space="preserve"> high quality growth, stable compounders and turnaround/special situations</w:t>
      </w:r>
      <w:r>
        <w:rPr>
          <w:rFonts w:ascii="Arial" w:eastAsiaTheme="majorEastAsia" w:hAnsi="Arial" w:cs="Arial"/>
          <w:color w:val="64777E"/>
          <w:sz w:val="18"/>
          <w:szCs w:val="18"/>
        </w:rPr>
        <w:t>. The focus on quality is considered highly portable to the small</w:t>
      </w:r>
      <w:r w:rsidR="00E47A3B">
        <w:rPr>
          <w:rFonts w:ascii="Arial" w:eastAsiaTheme="majorEastAsia" w:hAnsi="Arial" w:cs="Arial"/>
          <w:color w:val="64777E"/>
          <w:sz w:val="18"/>
          <w:szCs w:val="18"/>
        </w:rPr>
        <w:t xml:space="preserve"> &amp; mid-</w:t>
      </w:r>
      <w:r>
        <w:rPr>
          <w:rFonts w:ascii="Arial" w:eastAsiaTheme="majorEastAsia" w:hAnsi="Arial" w:cs="Arial"/>
          <w:color w:val="64777E"/>
          <w:sz w:val="18"/>
          <w:szCs w:val="18"/>
        </w:rPr>
        <w:t xml:space="preserve">cap universe where capital preservation tends to be more important. </w:t>
      </w:r>
    </w:p>
    <w:p w14:paraId="2A2A2329" w14:textId="77777777" w:rsidR="00BE550E" w:rsidRDefault="00BE550E" w:rsidP="00BE550E">
      <w:pPr>
        <w:pStyle w:val="paragraph"/>
        <w:spacing w:before="0" w:beforeAutospacing="0" w:after="0" w:afterAutospacing="0"/>
        <w:textAlignment w:val="baseline"/>
        <w:rPr>
          <w:rStyle w:val="eop"/>
          <w:rFonts w:ascii="Arial" w:eastAsiaTheme="majorEastAsia" w:hAnsi="Arial" w:cs="Arial"/>
          <w:color w:val="76C204"/>
          <w:sz w:val="28"/>
          <w:szCs w:val="28"/>
        </w:rPr>
      </w:pPr>
    </w:p>
    <w:p w14:paraId="2D9392E5" w14:textId="77777777" w:rsidR="00BE550E" w:rsidRDefault="00BE550E" w:rsidP="00BE550E">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Pr>
          <w:rStyle w:val="normaltextrun"/>
          <w:rFonts w:eastAsia="Calibri"/>
          <w:color w:val="76C204"/>
          <w:sz w:val="22"/>
          <w:szCs w:val="22"/>
        </w:rPr>
        <w:t>Idea Generation</w:t>
      </w:r>
    </w:p>
    <w:p w14:paraId="11771B1C" w14:textId="77777777" w:rsidR="00BE550E" w:rsidRDefault="00BE550E" w:rsidP="00BE550E">
      <w:pPr>
        <w:pStyle w:val="paragraph"/>
        <w:spacing w:before="0" w:beforeAutospacing="0" w:after="0" w:afterAutospacing="0"/>
        <w:textAlignment w:val="baseline"/>
        <w:rPr>
          <w:rStyle w:val="eop"/>
          <w:rFonts w:ascii="Arial" w:eastAsiaTheme="majorEastAsia" w:hAnsi="Arial" w:cs="Arial"/>
          <w:color w:val="76C204"/>
          <w:sz w:val="28"/>
          <w:szCs w:val="28"/>
        </w:rPr>
      </w:pPr>
    </w:p>
    <w:p w14:paraId="2157B254" w14:textId="61B01D8E" w:rsidR="00BE550E" w:rsidRDefault="00E47A3B" w:rsidP="00BE550E">
      <w:pPr>
        <w:pStyle w:val="paragraph"/>
        <w:spacing w:before="0" w:beforeAutospacing="0" w:after="0" w:afterAutospacing="0"/>
        <w:textAlignment w:val="baseline"/>
        <w:rPr>
          <w:rFonts w:ascii="Arial" w:eastAsiaTheme="majorEastAsia" w:hAnsi="Arial" w:cs="Arial"/>
          <w:color w:val="64777E"/>
          <w:sz w:val="18"/>
          <w:szCs w:val="18"/>
        </w:rPr>
      </w:pPr>
      <w:r>
        <w:rPr>
          <w:rFonts w:ascii="Arial" w:eastAsiaTheme="majorEastAsia" w:hAnsi="Arial" w:cs="Arial"/>
          <w:color w:val="64777E"/>
          <w:sz w:val="18"/>
          <w:szCs w:val="18"/>
        </w:rPr>
        <w:t xml:space="preserve">Fairlight utilise </w:t>
      </w:r>
      <w:proofErr w:type="gramStart"/>
      <w:r>
        <w:rPr>
          <w:rFonts w:ascii="Arial" w:eastAsiaTheme="majorEastAsia" w:hAnsi="Arial" w:cs="Arial"/>
          <w:color w:val="64777E"/>
          <w:sz w:val="18"/>
          <w:szCs w:val="18"/>
        </w:rPr>
        <w:t>a number of</w:t>
      </w:r>
      <w:proofErr w:type="gramEnd"/>
      <w:r>
        <w:rPr>
          <w:rFonts w:ascii="Arial" w:eastAsiaTheme="majorEastAsia" w:hAnsi="Arial" w:cs="Arial"/>
          <w:color w:val="64777E"/>
          <w:sz w:val="18"/>
          <w:szCs w:val="18"/>
        </w:rPr>
        <w:t xml:space="preserve"> quality screens based on ROIC, business cycle, ratios, ESG and single points of failure. This narrows their universe to 200-300 companie</w:t>
      </w:r>
      <w:r w:rsidR="00ED0CCE">
        <w:rPr>
          <w:rFonts w:ascii="Arial" w:eastAsiaTheme="majorEastAsia" w:hAnsi="Arial" w:cs="Arial"/>
          <w:color w:val="64777E"/>
          <w:sz w:val="18"/>
          <w:szCs w:val="18"/>
        </w:rPr>
        <w:t xml:space="preserve">s and is a valuable source of ideas. The Manager also utilises research trips as a source of ideas, often having someone in the team located overseas for 6 months at a time. This extensive use of travel is seen as highly valuable and helps decrease potential information asymmetries between an Australian based international equities manager and global based managers. </w:t>
      </w:r>
    </w:p>
    <w:p w14:paraId="3C60F9FC" w14:textId="77777777" w:rsidR="00BE550E" w:rsidRDefault="00BE550E" w:rsidP="00BE550E">
      <w:pPr>
        <w:pStyle w:val="paragraph"/>
        <w:spacing w:before="0" w:beforeAutospacing="0" w:after="0" w:afterAutospacing="0"/>
        <w:textAlignment w:val="baseline"/>
        <w:rPr>
          <w:rFonts w:ascii="Arial" w:eastAsiaTheme="majorEastAsia" w:hAnsi="Arial" w:cs="Arial"/>
          <w:color w:val="64777E"/>
          <w:sz w:val="18"/>
          <w:szCs w:val="18"/>
        </w:rPr>
      </w:pPr>
    </w:p>
    <w:p w14:paraId="6F631E99" w14:textId="77777777" w:rsidR="00BE550E" w:rsidRDefault="00BE550E" w:rsidP="00BE550E">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Pr>
          <w:rStyle w:val="normaltextrun"/>
          <w:rFonts w:eastAsia="Calibri"/>
          <w:color w:val="76C204"/>
          <w:sz w:val="22"/>
          <w:szCs w:val="22"/>
        </w:rPr>
        <w:t>Research Process</w:t>
      </w:r>
    </w:p>
    <w:p w14:paraId="4899BC8E" w14:textId="77777777" w:rsidR="00BE550E" w:rsidRDefault="00BE550E" w:rsidP="00BE550E">
      <w:pPr>
        <w:pStyle w:val="paragraph"/>
        <w:spacing w:before="0" w:beforeAutospacing="0" w:after="0" w:afterAutospacing="0"/>
        <w:textAlignment w:val="baseline"/>
        <w:rPr>
          <w:rFonts w:ascii="Arial" w:eastAsiaTheme="majorEastAsia" w:hAnsi="Arial" w:cs="Arial"/>
          <w:color w:val="64777E"/>
          <w:sz w:val="18"/>
          <w:szCs w:val="18"/>
        </w:rPr>
      </w:pPr>
    </w:p>
    <w:p w14:paraId="7285CDC1" w14:textId="2ADC35C9" w:rsidR="00BE550E" w:rsidRDefault="001B20FD" w:rsidP="00BE550E">
      <w:pPr>
        <w:pStyle w:val="paragraph"/>
        <w:spacing w:before="0" w:beforeAutospacing="0" w:after="0" w:afterAutospacing="0"/>
        <w:textAlignment w:val="baseline"/>
        <w:rPr>
          <w:rFonts w:ascii="Arial" w:eastAsiaTheme="majorEastAsia" w:hAnsi="Arial" w:cs="Arial"/>
          <w:color w:val="64777E"/>
          <w:sz w:val="18"/>
          <w:szCs w:val="18"/>
        </w:rPr>
      </w:pPr>
      <w:r>
        <w:rPr>
          <w:rFonts w:ascii="Arial" w:eastAsiaTheme="majorEastAsia" w:hAnsi="Arial" w:cs="Arial"/>
          <w:color w:val="64777E"/>
          <w:sz w:val="18"/>
          <w:szCs w:val="18"/>
        </w:rPr>
        <w:t xml:space="preserve">The Manager will break up potential investments into three different opportunity types with different return profiles. These first of which are High Quality Growth, </w:t>
      </w:r>
      <w:r w:rsidR="00E275D4">
        <w:rPr>
          <w:rFonts w:ascii="Arial" w:eastAsiaTheme="majorEastAsia" w:hAnsi="Arial" w:cs="Arial"/>
          <w:color w:val="64777E"/>
          <w:sz w:val="18"/>
          <w:szCs w:val="18"/>
        </w:rPr>
        <w:t>characterised</w:t>
      </w:r>
      <w:r>
        <w:rPr>
          <w:rFonts w:ascii="Arial" w:eastAsiaTheme="majorEastAsia" w:hAnsi="Arial" w:cs="Arial"/>
          <w:color w:val="64777E"/>
          <w:sz w:val="18"/>
          <w:szCs w:val="18"/>
        </w:rPr>
        <w:t xml:space="preserve"> by companies that generate sustained earnings growth and either require little capital to operate or those who can </w:t>
      </w:r>
      <w:r w:rsidR="00E275D4">
        <w:rPr>
          <w:rFonts w:ascii="Arial" w:eastAsiaTheme="majorEastAsia" w:hAnsi="Arial" w:cs="Arial"/>
          <w:color w:val="64777E"/>
          <w:sz w:val="18"/>
          <w:szCs w:val="18"/>
        </w:rPr>
        <w:t>deploy</w:t>
      </w:r>
      <w:r>
        <w:rPr>
          <w:rFonts w:ascii="Arial" w:eastAsiaTheme="majorEastAsia" w:hAnsi="Arial" w:cs="Arial"/>
          <w:color w:val="64777E"/>
          <w:sz w:val="18"/>
          <w:szCs w:val="18"/>
        </w:rPr>
        <w:t xml:space="preserve"> growth capital at high rates of return. The second bucket is Stable </w:t>
      </w:r>
      <w:r w:rsidR="00E275D4">
        <w:rPr>
          <w:rFonts w:ascii="Arial" w:eastAsiaTheme="majorEastAsia" w:hAnsi="Arial" w:cs="Arial"/>
          <w:color w:val="64777E"/>
          <w:sz w:val="18"/>
          <w:szCs w:val="18"/>
        </w:rPr>
        <w:t>compounders</w:t>
      </w:r>
      <w:r>
        <w:rPr>
          <w:rFonts w:ascii="Arial" w:eastAsiaTheme="majorEastAsia" w:hAnsi="Arial" w:cs="Arial"/>
          <w:color w:val="64777E"/>
          <w:sz w:val="18"/>
          <w:szCs w:val="18"/>
        </w:rPr>
        <w:t xml:space="preserve"> which are businesses that generate modest revenue growth, stable cash-flows and have opportunities to extend margins. The final bucket and low risk turnarounds and special situations which tend to be contrarian in nature and</w:t>
      </w:r>
      <w:r w:rsidR="00E275D4">
        <w:rPr>
          <w:rFonts w:ascii="Arial" w:eastAsiaTheme="majorEastAsia" w:hAnsi="Arial" w:cs="Arial"/>
          <w:color w:val="64777E"/>
          <w:sz w:val="18"/>
          <w:szCs w:val="18"/>
        </w:rPr>
        <w:t xml:space="preserve"> require some refocus to unlock the inherent quality in the business. </w:t>
      </w:r>
    </w:p>
    <w:p w14:paraId="1A92F8CB" w14:textId="77777777" w:rsidR="00E275D4" w:rsidRDefault="00E275D4" w:rsidP="00BE550E">
      <w:pPr>
        <w:pStyle w:val="paragraph"/>
        <w:spacing w:before="0" w:beforeAutospacing="0" w:after="0" w:afterAutospacing="0"/>
        <w:textAlignment w:val="baseline"/>
        <w:rPr>
          <w:rFonts w:ascii="Arial" w:eastAsiaTheme="majorEastAsia" w:hAnsi="Arial" w:cs="Arial"/>
          <w:color w:val="64777E"/>
          <w:sz w:val="18"/>
          <w:szCs w:val="18"/>
        </w:rPr>
      </w:pPr>
    </w:p>
    <w:p w14:paraId="48B941A7" w14:textId="62BC4F46" w:rsidR="00E275D4" w:rsidRDefault="00E275D4" w:rsidP="00BE550E">
      <w:pPr>
        <w:pStyle w:val="paragraph"/>
        <w:spacing w:before="0" w:beforeAutospacing="0" w:after="0" w:afterAutospacing="0"/>
        <w:textAlignment w:val="baseline"/>
        <w:rPr>
          <w:rFonts w:ascii="Arial" w:eastAsiaTheme="majorEastAsia" w:hAnsi="Arial" w:cs="Arial"/>
          <w:color w:val="64777E"/>
          <w:sz w:val="18"/>
          <w:szCs w:val="18"/>
        </w:rPr>
      </w:pPr>
      <w:r>
        <w:rPr>
          <w:rFonts w:ascii="Arial" w:eastAsiaTheme="majorEastAsia" w:hAnsi="Arial" w:cs="Arial"/>
          <w:color w:val="64777E"/>
          <w:sz w:val="18"/>
          <w:szCs w:val="18"/>
        </w:rPr>
        <w:t xml:space="preserve">The Manager follows a four-stage process. Stage one is the initial screening and allocation, followed by stage two where the analysts conduct a rapid due diligence that is two days and aims to reduce the emotional bias of being too attached to a company, they have spent a lot of time on. A discussion takes place on the investment merit and if successful it will move to stage three where a deep due diligence is conducted. In the deep due diligence, the team conduct research trips, meetings with management and detailed forecasting and industry analysis. This is followed by another discussion between the team before it moves to the final stage being portfolio construction. </w:t>
      </w:r>
    </w:p>
    <w:p w14:paraId="10B63F10" w14:textId="77777777" w:rsidR="00E275D4" w:rsidRDefault="00E275D4" w:rsidP="00BE550E">
      <w:pPr>
        <w:pStyle w:val="paragraph"/>
        <w:spacing w:before="0" w:beforeAutospacing="0" w:after="0" w:afterAutospacing="0"/>
        <w:textAlignment w:val="baseline"/>
        <w:rPr>
          <w:rFonts w:ascii="Arial" w:eastAsiaTheme="majorEastAsia" w:hAnsi="Arial" w:cs="Arial"/>
          <w:color w:val="64777E"/>
          <w:sz w:val="18"/>
          <w:szCs w:val="18"/>
        </w:rPr>
      </w:pPr>
    </w:p>
    <w:p w14:paraId="5AA7EBC2" w14:textId="0103BB9B" w:rsidR="00E275D4" w:rsidRDefault="00E275D4" w:rsidP="00BE550E">
      <w:pPr>
        <w:pStyle w:val="paragraph"/>
        <w:spacing w:before="0" w:beforeAutospacing="0" w:after="0" w:afterAutospacing="0"/>
        <w:textAlignment w:val="baseline"/>
        <w:rPr>
          <w:rFonts w:ascii="Arial" w:eastAsiaTheme="majorEastAsia" w:hAnsi="Arial" w:cs="Arial"/>
          <w:color w:val="64777E"/>
          <w:sz w:val="18"/>
          <w:szCs w:val="18"/>
        </w:rPr>
      </w:pPr>
      <w:r>
        <w:rPr>
          <w:rFonts w:ascii="Arial" w:eastAsiaTheme="majorEastAsia" w:hAnsi="Arial" w:cs="Arial"/>
          <w:color w:val="64777E"/>
          <w:sz w:val="18"/>
          <w:szCs w:val="18"/>
        </w:rPr>
        <w:t xml:space="preserve">The Manager has been automating a lot of their process and has partnered with Calibre to build out fundamental research models on their system. This is seen as a competitive edge and a highly useful addition to their approach. </w:t>
      </w:r>
    </w:p>
    <w:p w14:paraId="5BDEF9A9" w14:textId="77777777" w:rsidR="00E275D4" w:rsidRDefault="00E275D4" w:rsidP="00BE550E">
      <w:pPr>
        <w:pStyle w:val="paragraph"/>
        <w:spacing w:before="0" w:beforeAutospacing="0" w:after="0" w:afterAutospacing="0"/>
        <w:textAlignment w:val="baseline"/>
        <w:rPr>
          <w:rFonts w:ascii="Arial" w:eastAsiaTheme="majorEastAsia" w:hAnsi="Arial" w:cs="Arial"/>
          <w:color w:val="64777E"/>
          <w:sz w:val="18"/>
          <w:szCs w:val="18"/>
        </w:rPr>
      </w:pPr>
    </w:p>
    <w:p w14:paraId="2B8CA24B" w14:textId="72D33DF2" w:rsidR="00E275D4" w:rsidRDefault="00E275D4" w:rsidP="00BE550E">
      <w:pPr>
        <w:pStyle w:val="paragraph"/>
        <w:spacing w:before="0" w:beforeAutospacing="0" w:after="0" w:afterAutospacing="0"/>
        <w:textAlignment w:val="baseline"/>
        <w:rPr>
          <w:rFonts w:ascii="Arial" w:eastAsiaTheme="majorEastAsia" w:hAnsi="Arial" w:cs="Arial"/>
          <w:color w:val="64777E"/>
          <w:sz w:val="18"/>
          <w:szCs w:val="18"/>
        </w:rPr>
      </w:pPr>
      <w:r w:rsidRPr="00E275D4">
        <w:rPr>
          <w:rFonts w:ascii="Arial" w:eastAsiaTheme="majorEastAsia" w:hAnsi="Arial" w:cs="Arial"/>
          <w:noProof/>
          <w:color w:val="64777E"/>
          <w:sz w:val="18"/>
          <w:szCs w:val="18"/>
        </w:rPr>
        <w:drawing>
          <wp:inline distT="0" distB="0" distL="0" distR="0" wp14:anchorId="2CFC6C12" wp14:editId="3C6F48DF">
            <wp:extent cx="5836454" cy="2295525"/>
            <wp:effectExtent l="0" t="0" r="0" b="0"/>
            <wp:docPr id="222296431"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96431" name="Picture 1" descr="A diagram of a diagram&#10;&#10;Description automatically generated with medium confidence"/>
                    <pic:cNvPicPr/>
                  </pic:nvPicPr>
                  <pic:blipFill>
                    <a:blip r:embed="rId11"/>
                    <a:stretch>
                      <a:fillRect/>
                    </a:stretch>
                  </pic:blipFill>
                  <pic:spPr>
                    <a:xfrm>
                      <a:off x="0" y="0"/>
                      <a:ext cx="5869868" cy="2308667"/>
                    </a:xfrm>
                    <a:prstGeom prst="rect">
                      <a:avLst/>
                    </a:prstGeom>
                  </pic:spPr>
                </pic:pic>
              </a:graphicData>
            </a:graphic>
          </wp:inline>
        </w:drawing>
      </w:r>
    </w:p>
    <w:p w14:paraId="12335F53" w14:textId="77777777" w:rsidR="00BE550E" w:rsidRDefault="00BE550E" w:rsidP="00BE550E">
      <w:pPr>
        <w:pStyle w:val="paragraph"/>
        <w:spacing w:before="0" w:beforeAutospacing="0" w:after="0" w:afterAutospacing="0"/>
        <w:textAlignment w:val="baseline"/>
        <w:rPr>
          <w:rFonts w:ascii="Arial" w:eastAsiaTheme="majorEastAsia" w:hAnsi="Arial" w:cs="Arial"/>
          <w:color w:val="64777E"/>
          <w:sz w:val="18"/>
          <w:szCs w:val="18"/>
        </w:rPr>
      </w:pPr>
    </w:p>
    <w:p w14:paraId="57DCB084" w14:textId="77777777" w:rsidR="00BE550E" w:rsidRDefault="00BE550E" w:rsidP="00BE550E">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Pr>
          <w:rStyle w:val="normaltextrun"/>
          <w:rFonts w:eastAsia="Calibri"/>
          <w:color w:val="76C204"/>
          <w:sz w:val="22"/>
          <w:szCs w:val="22"/>
        </w:rPr>
        <w:t>Portfolio Construction</w:t>
      </w:r>
    </w:p>
    <w:p w14:paraId="5C1A325B" w14:textId="3C6AC6F9" w:rsidR="00BE550E" w:rsidRDefault="00BE550E" w:rsidP="00BE550E">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64777E"/>
          <w:sz w:val="18"/>
          <w:szCs w:val="18"/>
        </w:rPr>
      </w:pPr>
    </w:p>
    <w:p w14:paraId="6B95ED8E" w14:textId="71B21BE7" w:rsidR="005C5D3A" w:rsidRDefault="005C5D3A" w:rsidP="00BE550E">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sidRPr="005C5D3A">
        <w:rPr>
          <w:rFonts w:ascii="Arial" w:eastAsiaTheme="majorEastAsia" w:hAnsi="Arial" w:cs="Arial"/>
          <w:color w:val="64777E"/>
          <w:sz w:val="18"/>
          <w:szCs w:val="18"/>
        </w:rPr>
        <w:t xml:space="preserve">The Portfolio will hold 30-40 companies, 40% of which will be “High Growth Quality”, 40% will be “Stable Compounders” and 15% will be “Turnaround &amp; Special Situation” with the remaining in cash. </w:t>
      </w:r>
    </w:p>
    <w:p w14:paraId="05BF9AD4" w14:textId="1FF69144" w:rsidR="005C5D3A" w:rsidRDefault="005C5D3A" w:rsidP="00BE550E">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Pr>
          <w:rFonts w:ascii="Arial" w:eastAsiaTheme="majorEastAsia" w:hAnsi="Arial" w:cs="Arial"/>
          <w:color w:val="64777E"/>
          <w:sz w:val="18"/>
          <w:szCs w:val="18"/>
        </w:rPr>
        <w:t xml:space="preserve">The </w:t>
      </w:r>
      <w:r w:rsidR="00650784">
        <w:rPr>
          <w:rFonts w:ascii="Arial" w:eastAsiaTheme="majorEastAsia" w:hAnsi="Arial" w:cs="Arial"/>
          <w:color w:val="64777E"/>
          <w:sz w:val="18"/>
          <w:szCs w:val="18"/>
        </w:rPr>
        <w:t xml:space="preserve">individual stock weighting follows an assessment of the </w:t>
      </w:r>
      <w:proofErr w:type="gramStart"/>
      <w:r w:rsidR="00650784">
        <w:rPr>
          <w:rFonts w:ascii="Arial" w:eastAsiaTheme="majorEastAsia" w:hAnsi="Arial" w:cs="Arial"/>
          <w:color w:val="64777E"/>
          <w:sz w:val="18"/>
          <w:szCs w:val="18"/>
        </w:rPr>
        <w:t>stocks</w:t>
      </w:r>
      <w:proofErr w:type="gramEnd"/>
      <w:r w:rsidR="00650784">
        <w:rPr>
          <w:rFonts w:ascii="Arial" w:eastAsiaTheme="majorEastAsia" w:hAnsi="Arial" w:cs="Arial"/>
          <w:color w:val="64777E"/>
          <w:sz w:val="18"/>
          <w:szCs w:val="18"/>
        </w:rPr>
        <w:t xml:space="preserve"> conviction rating and discount to intrinsic value. Pleasingly the manager also pays high attention to cross-correlations between positions and adjusts accordingly. </w:t>
      </w:r>
    </w:p>
    <w:p w14:paraId="2915210E" w14:textId="77777777" w:rsidR="00650784" w:rsidRDefault="00650784" w:rsidP="00BE550E">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p>
    <w:p w14:paraId="21CEA527" w14:textId="49B624E6" w:rsidR="00650784" w:rsidRPr="005C5D3A" w:rsidRDefault="00650784" w:rsidP="00BE550E">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sidRPr="00650784">
        <w:rPr>
          <w:rFonts w:ascii="Arial" w:eastAsiaTheme="majorEastAsia" w:hAnsi="Arial" w:cs="Arial"/>
          <w:noProof/>
          <w:color w:val="64777E"/>
          <w:sz w:val="18"/>
          <w:szCs w:val="18"/>
        </w:rPr>
        <w:lastRenderedPageBreak/>
        <w:drawing>
          <wp:inline distT="0" distB="0" distL="0" distR="0" wp14:anchorId="6BB25D73" wp14:editId="2F1329C0">
            <wp:extent cx="5038725" cy="2044854"/>
            <wp:effectExtent l="0" t="0" r="0" b="0"/>
            <wp:docPr id="1581365632" name="Picture 1" descr="A diagram of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65632" name="Picture 1" descr="A diagram of different colored circles&#10;&#10;Description automatically generated"/>
                    <pic:cNvPicPr/>
                  </pic:nvPicPr>
                  <pic:blipFill>
                    <a:blip r:embed="rId12"/>
                    <a:stretch>
                      <a:fillRect/>
                    </a:stretch>
                  </pic:blipFill>
                  <pic:spPr>
                    <a:xfrm>
                      <a:off x="0" y="0"/>
                      <a:ext cx="5138965" cy="2085534"/>
                    </a:xfrm>
                    <a:prstGeom prst="rect">
                      <a:avLst/>
                    </a:prstGeom>
                  </pic:spPr>
                </pic:pic>
              </a:graphicData>
            </a:graphic>
          </wp:inline>
        </w:drawing>
      </w:r>
    </w:p>
    <w:p w14:paraId="21B134B0" w14:textId="77777777" w:rsidR="00E275D4" w:rsidRPr="005C5D3A" w:rsidRDefault="00E275D4" w:rsidP="00BE550E">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p>
    <w:p w14:paraId="5946E4FE" w14:textId="77777777" w:rsidR="00BE550E" w:rsidRDefault="00BE550E" w:rsidP="00BE550E">
      <w:pPr>
        <w:pStyle w:val="paragraph"/>
        <w:shd w:val="clear" w:color="auto" w:fill="FFFFFF"/>
        <w:spacing w:before="0" w:beforeAutospacing="0" w:after="0" w:afterAutospacing="0"/>
        <w:jc w:val="both"/>
        <w:textAlignment w:val="baseline"/>
        <w:rPr>
          <w:rStyle w:val="normaltextrun"/>
          <w:rFonts w:eastAsia="Calibri"/>
          <w:color w:val="76C204"/>
          <w:sz w:val="22"/>
          <w:szCs w:val="22"/>
        </w:rPr>
      </w:pPr>
      <w:r>
        <w:rPr>
          <w:rStyle w:val="normaltextrun"/>
          <w:rFonts w:eastAsia="Calibri"/>
          <w:color w:val="76C204"/>
          <w:sz w:val="22"/>
          <w:szCs w:val="22"/>
        </w:rPr>
        <w:t>Risk Management</w:t>
      </w:r>
    </w:p>
    <w:p w14:paraId="0FCBB81F" w14:textId="77777777" w:rsidR="00BE550E" w:rsidRDefault="00BE550E" w:rsidP="00BE550E">
      <w:pPr>
        <w:pStyle w:val="paragraph"/>
        <w:shd w:val="clear" w:color="auto" w:fill="FFFFFF"/>
        <w:spacing w:before="0" w:beforeAutospacing="0" w:after="0" w:afterAutospacing="0"/>
        <w:jc w:val="both"/>
        <w:textAlignment w:val="baseline"/>
        <w:rPr>
          <w:rStyle w:val="normaltextrun"/>
          <w:rFonts w:eastAsia="Calibri"/>
          <w:color w:val="76C204"/>
          <w:sz w:val="22"/>
          <w:szCs w:val="22"/>
        </w:rPr>
      </w:pPr>
    </w:p>
    <w:p w14:paraId="420A3F3D" w14:textId="59D9BDE4" w:rsidR="00650784" w:rsidRDefault="00650784" w:rsidP="00650784">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Pr>
          <w:rFonts w:ascii="Arial" w:eastAsiaTheme="majorEastAsia" w:hAnsi="Arial" w:cs="Arial"/>
          <w:color w:val="64777E"/>
          <w:sz w:val="18"/>
          <w:szCs w:val="18"/>
        </w:rPr>
        <w:t xml:space="preserve">The Manager is relatively unconstrained in terms of positioning and managing the Fund. There are few risk limits in place, however, this is consistent with the high conviction design. The Manager is limited to Developed Markets only which is viewed positively given the flow of information in emerging market small &amp; mid-caps can be asymmetric. </w:t>
      </w:r>
    </w:p>
    <w:p w14:paraId="483129AF" w14:textId="77777777" w:rsidR="00650784" w:rsidRDefault="00650784" w:rsidP="00650784">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p>
    <w:p w14:paraId="58CD6BD9" w14:textId="513728BF" w:rsidR="00650784" w:rsidRDefault="00650784" w:rsidP="00650784">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sidRPr="00650784">
        <w:rPr>
          <w:rFonts w:ascii="Arial" w:eastAsiaTheme="majorEastAsia" w:hAnsi="Arial" w:cs="Arial"/>
          <w:noProof/>
          <w:color w:val="64777E"/>
          <w:sz w:val="18"/>
          <w:szCs w:val="18"/>
        </w:rPr>
        <w:drawing>
          <wp:inline distT="0" distB="0" distL="0" distR="0" wp14:anchorId="4C2316A8" wp14:editId="3428A225">
            <wp:extent cx="2915057" cy="962159"/>
            <wp:effectExtent l="0" t="0" r="0" b="9525"/>
            <wp:docPr id="1871716556" name="Picture 1" descr="A white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16556" name="Picture 1" descr="A white text with black text&#10;&#10;Description automatically generated with medium confidence"/>
                    <pic:cNvPicPr/>
                  </pic:nvPicPr>
                  <pic:blipFill>
                    <a:blip r:embed="rId13"/>
                    <a:stretch>
                      <a:fillRect/>
                    </a:stretch>
                  </pic:blipFill>
                  <pic:spPr>
                    <a:xfrm>
                      <a:off x="0" y="0"/>
                      <a:ext cx="2915057" cy="962159"/>
                    </a:xfrm>
                    <a:prstGeom prst="rect">
                      <a:avLst/>
                    </a:prstGeom>
                  </pic:spPr>
                </pic:pic>
              </a:graphicData>
            </a:graphic>
          </wp:inline>
        </w:drawing>
      </w:r>
    </w:p>
    <w:p w14:paraId="2BC51CDF" w14:textId="77777777" w:rsidR="00BE550E" w:rsidRDefault="00BE550E" w:rsidP="00BE550E">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p>
    <w:p w14:paraId="43F16EAE" w14:textId="77777777" w:rsidR="00BE550E" w:rsidRDefault="00BE550E" w:rsidP="00BE550E">
      <w:pPr>
        <w:pBdr>
          <w:top w:val="nil"/>
          <w:left w:val="nil"/>
          <w:bottom w:val="nil"/>
          <w:right w:val="nil"/>
          <w:between w:val="nil"/>
        </w:pBdr>
        <w:spacing w:after="0" w:line="276" w:lineRule="auto"/>
        <w:jc w:val="both"/>
        <w:rPr>
          <w:rFonts w:ascii="Arial" w:eastAsia="Calibri" w:hAnsi="Arial" w:cs="Times New Roman"/>
          <w:color w:val="76C204"/>
          <w:kern w:val="0"/>
          <w:sz w:val="28"/>
          <w:szCs w:val="28"/>
          <w14:ligatures w14:val="none"/>
        </w:rPr>
      </w:pPr>
      <w:r w:rsidRPr="003F7188">
        <w:rPr>
          <w:rFonts w:ascii="Arial" w:eastAsia="Calibri" w:hAnsi="Arial" w:cs="Times New Roman"/>
          <w:color w:val="76C204"/>
          <w:kern w:val="0"/>
          <w:sz w:val="28"/>
          <w:szCs w:val="28"/>
          <w14:ligatures w14:val="none"/>
        </w:rPr>
        <w:t>PORTFOLIO CHARACTERISTICS</w:t>
      </w:r>
    </w:p>
    <w:p w14:paraId="202FD09F" w14:textId="77777777" w:rsidR="00BE550E" w:rsidRPr="003F7188" w:rsidRDefault="00BE550E" w:rsidP="00BE550E">
      <w:pPr>
        <w:pBdr>
          <w:top w:val="nil"/>
          <w:left w:val="nil"/>
          <w:bottom w:val="nil"/>
          <w:right w:val="nil"/>
          <w:between w:val="nil"/>
        </w:pBdr>
        <w:spacing w:after="0" w:line="276" w:lineRule="auto"/>
        <w:jc w:val="both"/>
        <w:rPr>
          <w:rFonts w:ascii="Arial" w:eastAsia="Calibri" w:hAnsi="Arial" w:cs="Times New Roman"/>
          <w:color w:val="76C204"/>
          <w:kern w:val="0"/>
          <w:sz w:val="16"/>
          <w:szCs w:val="16"/>
          <w14:ligatures w14:val="none"/>
        </w:rPr>
      </w:pPr>
    </w:p>
    <w:p w14:paraId="65631B35" w14:textId="77777777" w:rsidR="00BE550E" w:rsidRPr="003F7188" w:rsidRDefault="00BE550E" w:rsidP="00BE550E">
      <w:pPr>
        <w:pBdr>
          <w:top w:val="nil"/>
          <w:left w:val="nil"/>
          <w:bottom w:val="nil"/>
          <w:right w:val="nil"/>
          <w:between w:val="nil"/>
        </w:pBdr>
        <w:spacing w:after="0" w:line="276" w:lineRule="auto"/>
        <w:jc w:val="both"/>
        <w:rPr>
          <w:rFonts w:ascii="Arial" w:eastAsia="Calibri" w:hAnsi="Arial" w:cs="Times New Roman"/>
          <w:color w:val="76C204"/>
          <w:kern w:val="0"/>
          <w:sz w:val="22"/>
          <w:szCs w:val="22"/>
          <w14:ligatures w14:val="none"/>
        </w:rPr>
      </w:pPr>
      <w:r w:rsidRPr="003F7188">
        <w:rPr>
          <w:rFonts w:ascii="Arial" w:eastAsia="Calibri" w:hAnsi="Arial" w:cs="Times New Roman"/>
          <w:color w:val="76C204"/>
          <w:kern w:val="0"/>
          <w:sz w:val="22"/>
          <w:szCs w:val="22"/>
          <w14:ligatures w14:val="none"/>
        </w:rPr>
        <w:t xml:space="preserve">Portfolio Turnover </w:t>
      </w:r>
    </w:p>
    <w:p w14:paraId="2617A9FB" w14:textId="77777777" w:rsidR="00BE550E" w:rsidRPr="003F7188" w:rsidRDefault="00BE550E" w:rsidP="00BE550E">
      <w:pPr>
        <w:pBdr>
          <w:top w:val="nil"/>
          <w:left w:val="nil"/>
          <w:bottom w:val="nil"/>
          <w:right w:val="nil"/>
          <w:between w:val="nil"/>
        </w:pBdr>
        <w:spacing w:after="0" w:line="276" w:lineRule="auto"/>
        <w:rPr>
          <w:rFonts w:ascii="Arial" w:eastAsia="Calibri" w:hAnsi="Arial" w:cs="Times New Roman"/>
          <w:color w:val="76C204"/>
          <w:kern w:val="0"/>
          <w:sz w:val="18"/>
          <w:szCs w:val="18"/>
          <w14:ligatures w14:val="none"/>
        </w:rPr>
      </w:pPr>
    </w:p>
    <w:p w14:paraId="03272816" w14:textId="45D7653D" w:rsidR="00650784" w:rsidRPr="003F7188" w:rsidRDefault="00650784" w:rsidP="00650784">
      <w:pPr>
        <w:pBdr>
          <w:top w:val="nil"/>
          <w:left w:val="nil"/>
          <w:bottom w:val="nil"/>
          <w:right w:val="nil"/>
          <w:between w:val="nil"/>
        </w:pBdr>
        <w:spacing w:after="0" w:line="276" w:lineRule="auto"/>
        <w:rPr>
          <w:rFonts w:ascii="Arial" w:eastAsia="Calibri" w:hAnsi="Arial" w:cs="Times New Roman"/>
          <w:color w:val="64777E"/>
          <w:kern w:val="0"/>
          <w:sz w:val="28"/>
          <w:szCs w:val="28"/>
          <w14:ligatures w14:val="none"/>
        </w:rPr>
      </w:pPr>
      <w:r>
        <w:rPr>
          <w:rFonts w:ascii="Arial" w:eastAsia="Arial" w:hAnsi="Arial" w:cs="Century Gothic Pro"/>
          <w:color w:val="64777E"/>
          <w:kern w:val="0"/>
          <w:sz w:val="18"/>
          <w:szCs w:val="18"/>
          <w14:ligatures w14:val="none"/>
        </w:rPr>
        <w:t>The Fund’s</w:t>
      </w:r>
      <w:r w:rsidRPr="003F7188">
        <w:rPr>
          <w:rFonts w:ascii="Arial" w:eastAsia="Arial" w:hAnsi="Arial" w:cs="Century Gothic Pro"/>
          <w:color w:val="64777E"/>
          <w:kern w:val="0"/>
          <w:sz w:val="18"/>
          <w:szCs w:val="18"/>
          <w14:ligatures w14:val="none"/>
        </w:rPr>
        <w:t xml:space="preserve"> turnover is typically </w:t>
      </w:r>
      <w:r>
        <w:rPr>
          <w:rFonts w:ascii="Arial" w:eastAsia="Arial" w:hAnsi="Arial" w:cs="Century Gothic Pro"/>
          <w:color w:val="64777E"/>
          <w:kern w:val="0"/>
          <w:sz w:val="18"/>
          <w:szCs w:val="18"/>
          <w14:ligatures w14:val="none"/>
        </w:rPr>
        <w:t>25</w:t>
      </w:r>
      <w:r w:rsidRPr="003F7188">
        <w:rPr>
          <w:rFonts w:ascii="Arial" w:eastAsia="Arial" w:hAnsi="Arial" w:cs="Century Gothic Pro"/>
          <w:color w:val="64777E"/>
          <w:kern w:val="0"/>
          <w:sz w:val="18"/>
          <w:szCs w:val="18"/>
          <w14:ligatures w14:val="none"/>
        </w:rPr>
        <w:t>% annually</w:t>
      </w:r>
      <w:r>
        <w:rPr>
          <w:rFonts w:ascii="Arial" w:eastAsia="Arial" w:hAnsi="Arial" w:cs="Century Gothic Pro"/>
          <w:color w:val="64777E"/>
          <w:kern w:val="0"/>
          <w:sz w:val="18"/>
          <w:szCs w:val="18"/>
          <w14:ligatures w14:val="none"/>
        </w:rPr>
        <w:t xml:space="preserve">. The manager is active in adding and trimming </w:t>
      </w:r>
      <w:proofErr w:type="gramStart"/>
      <w:r>
        <w:rPr>
          <w:rFonts w:ascii="Arial" w:eastAsia="Arial" w:hAnsi="Arial" w:cs="Century Gothic Pro"/>
          <w:color w:val="64777E"/>
          <w:kern w:val="0"/>
          <w:sz w:val="18"/>
          <w:szCs w:val="18"/>
          <w14:ligatures w14:val="none"/>
        </w:rPr>
        <w:t>names,</w:t>
      </w:r>
      <w:proofErr w:type="gramEnd"/>
      <w:r>
        <w:rPr>
          <w:rFonts w:ascii="Arial" w:eastAsia="Arial" w:hAnsi="Arial" w:cs="Century Gothic Pro"/>
          <w:color w:val="64777E"/>
          <w:kern w:val="0"/>
          <w:sz w:val="18"/>
          <w:szCs w:val="18"/>
          <w14:ligatures w14:val="none"/>
        </w:rPr>
        <w:t xml:space="preserve"> however, actual name turnover is low, which is expected given the managers approach to quality and stable compounding. The Manager does have a deep bench of names that are approved in terms of investment case, however, are not at the right valuation. Turnover on the bench is around 20% per year. </w:t>
      </w:r>
    </w:p>
    <w:p w14:paraId="6D57F289" w14:textId="77777777" w:rsidR="00BE550E" w:rsidRPr="003F7188" w:rsidRDefault="00BE550E" w:rsidP="00BE550E">
      <w:pPr>
        <w:pBdr>
          <w:top w:val="nil"/>
          <w:left w:val="nil"/>
          <w:bottom w:val="nil"/>
          <w:right w:val="nil"/>
          <w:between w:val="nil"/>
        </w:pBdr>
        <w:spacing w:after="0" w:line="276" w:lineRule="auto"/>
        <w:rPr>
          <w:rFonts w:ascii="Arial" w:eastAsia="Calibri" w:hAnsi="Arial" w:cs="Times New Roman"/>
          <w:color w:val="76C204"/>
          <w:kern w:val="0"/>
          <w:sz w:val="28"/>
          <w:szCs w:val="28"/>
          <w14:ligatures w14:val="none"/>
        </w:rPr>
      </w:pPr>
    </w:p>
    <w:p w14:paraId="62006921" w14:textId="77777777" w:rsidR="00BE550E" w:rsidRPr="003F7188" w:rsidRDefault="00BE550E" w:rsidP="00BE550E">
      <w:pPr>
        <w:pBdr>
          <w:top w:val="nil"/>
          <w:left w:val="nil"/>
          <w:bottom w:val="nil"/>
          <w:right w:val="nil"/>
          <w:between w:val="nil"/>
        </w:pBdr>
        <w:spacing w:after="0" w:line="240" w:lineRule="auto"/>
        <w:rPr>
          <w:rFonts w:ascii="Arial" w:eastAsia="Calibri" w:hAnsi="Arial" w:cs="Times New Roman"/>
          <w:color w:val="76C204"/>
          <w:kern w:val="0"/>
          <w:sz w:val="22"/>
          <w:szCs w:val="22"/>
          <w14:ligatures w14:val="none"/>
        </w:rPr>
      </w:pPr>
      <w:r w:rsidRPr="003F7188">
        <w:rPr>
          <w:rFonts w:ascii="Arial" w:eastAsia="Calibri" w:hAnsi="Arial" w:cs="Times New Roman"/>
          <w:color w:val="76C204"/>
          <w:kern w:val="0"/>
          <w:sz w:val="22"/>
          <w:szCs w:val="22"/>
          <w14:ligatures w14:val="none"/>
        </w:rPr>
        <w:t>Liquidity</w:t>
      </w:r>
    </w:p>
    <w:p w14:paraId="44CDFE77" w14:textId="77777777" w:rsidR="00BE550E" w:rsidRPr="003F7188" w:rsidRDefault="00BE550E" w:rsidP="00BE550E">
      <w:pPr>
        <w:pBdr>
          <w:top w:val="nil"/>
          <w:left w:val="nil"/>
          <w:bottom w:val="nil"/>
          <w:right w:val="nil"/>
          <w:between w:val="nil"/>
        </w:pBdr>
        <w:spacing w:after="0" w:line="240" w:lineRule="auto"/>
        <w:rPr>
          <w:rFonts w:ascii="Arial" w:eastAsia="Calibri" w:hAnsi="Arial" w:cs="Times New Roman"/>
          <w:color w:val="76C204"/>
          <w:kern w:val="0"/>
          <w:sz w:val="18"/>
          <w:szCs w:val="18"/>
          <w14:ligatures w14:val="none"/>
        </w:rPr>
      </w:pPr>
    </w:p>
    <w:p w14:paraId="1E8E6F6E" w14:textId="070C7231" w:rsidR="00BE550E" w:rsidRPr="00650784" w:rsidRDefault="00650784" w:rsidP="00BE550E">
      <w:pPr>
        <w:pBdr>
          <w:top w:val="nil"/>
          <w:left w:val="nil"/>
          <w:bottom w:val="nil"/>
          <w:right w:val="nil"/>
          <w:between w:val="nil"/>
        </w:pBdr>
        <w:spacing w:after="0" w:line="276" w:lineRule="auto"/>
        <w:rPr>
          <w:rFonts w:ascii="Arial" w:eastAsia="Arial" w:hAnsi="Arial" w:cs="Century Gothic Pro"/>
          <w:color w:val="64777E"/>
          <w:kern w:val="0"/>
          <w:sz w:val="18"/>
          <w:szCs w:val="18"/>
          <w14:ligatures w14:val="none"/>
        </w:rPr>
      </w:pPr>
      <w:r>
        <w:rPr>
          <w:rFonts w:ascii="Arial" w:eastAsia="Arial" w:hAnsi="Arial" w:cs="Century Gothic Pro"/>
          <w:color w:val="64777E"/>
          <w:kern w:val="0"/>
          <w:sz w:val="18"/>
          <w:szCs w:val="18"/>
          <w14:ligatures w14:val="none"/>
        </w:rPr>
        <w:t xml:space="preserve">Small cap stocks have the potential to be less liquid, however, the Fund invests at the larger end of small’s and has some mid-cap exposures. </w:t>
      </w:r>
    </w:p>
    <w:p w14:paraId="595594A5" w14:textId="77777777" w:rsidR="00BE550E" w:rsidRPr="003F7188" w:rsidRDefault="00BE550E" w:rsidP="00BE550E">
      <w:pPr>
        <w:pBdr>
          <w:top w:val="nil"/>
          <w:left w:val="nil"/>
          <w:bottom w:val="nil"/>
          <w:right w:val="nil"/>
          <w:between w:val="nil"/>
        </w:pBdr>
        <w:spacing w:after="0" w:line="276" w:lineRule="auto"/>
        <w:rPr>
          <w:rFonts w:ascii="Arial" w:eastAsia="Calibri" w:hAnsi="Arial" w:cs="Times New Roman"/>
          <w:color w:val="76C204"/>
          <w:kern w:val="0"/>
          <w:sz w:val="28"/>
          <w:szCs w:val="28"/>
          <w14:ligatures w14:val="none"/>
        </w:rPr>
      </w:pPr>
    </w:p>
    <w:p w14:paraId="433454EF" w14:textId="77777777" w:rsidR="00BE550E" w:rsidRPr="003F7188" w:rsidRDefault="00BE550E" w:rsidP="00BE550E">
      <w:pPr>
        <w:pBdr>
          <w:top w:val="nil"/>
          <w:left w:val="nil"/>
          <w:bottom w:val="nil"/>
          <w:right w:val="nil"/>
          <w:between w:val="nil"/>
        </w:pBdr>
        <w:spacing w:after="0" w:line="240" w:lineRule="auto"/>
        <w:rPr>
          <w:rFonts w:ascii="Arial" w:eastAsia="Calibri" w:hAnsi="Arial" w:cs="Times New Roman"/>
          <w:color w:val="76C204"/>
          <w:kern w:val="0"/>
          <w:sz w:val="22"/>
          <w:szCs w:val="22"/>
          <w14:ligatures w14:val="none"/>
        </w:rPr>
      </w:pPr>
      <w:r w:rsidRPr="003F7188">
        <w:rPr>
          <w:rFonts w:ascii="Arial" w:eastAsia="Calibri" w:hAnsi="Arial" w:cs="Times New Roman"/>
          <w:color w:val="76C204"/>
          <w:kern w:val="0"/>
          <w:sz w:val="22"/>
          <w:szCs w:val="22"/>
          <w14:ligatures w14:val="none"/>
        </w:rPr>
        <w:t>Leverage</w:t>
      </w:r>
    </w:p>
    <w:p w14:paraId="49AB2A3E" w14:textId="77777777" w:rsidR="00BE550E" w:rsidRPr="003F7188" w:rsidRDefault="00BE550E" w:rsidP="00BE550E">
      <w:pPr>
        <w:pBdr>
          <w:top w:val="nil"/>
          <w:left w:val="nil"/>
          <w:bottom w:val="nil"/>
          <w:right w:val="nil"/>
          <w:between w:val="nil"/>
        </w:pBdr>
        <w:spacing w:after="0" w:line="240" w:lineRule="auto"/>
        <w:rPr>
          <w:rFonts w:ascii="Arial" w:eastAsia="Calibri" w:hAnsi="Arial" w:cs="Times New Roman"/>
          <w:color w:val="76C204"/>
          <w:kern w:val="0"/>
          <w:sz w:val="18"/>
          <w:szCs w:val="18"/>
          <w14:ligatures w14:val="none"/>
        </w:rPr>
      </w:pPr>
    </w:p>
    <w:p w14:paraId="4680690F" w14:textId="77777777" w:rsidR="00BE550E" w:rsidRPr="003F7188" w:rsidRDefault="00BE550E" w:rsidP="00BE550E">
      <w:pPr>
        <w:pBdr>
          <w:top w:val="nil"/>
          <w:left w:val="nil"/>
          <w:bottom w:val="nil"/>
          <w:right w:val="nil"/>
          <w:between w:val="nil"/>
        </w:pBdr>
        <w:spacing w:after="0" w:line="276" w:lineRule="auto"/>
        <w:rPr>
          <w:rFonts w:ascii="Arial" w:eastAsia="Arial" w:hAnsi="Arial" w:cs="Century Gothic Pro"/>
          <w:color w:val="64777E"/>
          <w:kern w:val="0"/>
          <w:sz w:val="18"/>
          <w:szCs w:val="18"/>
          <w14:ligatures w14:val="none"/>
        </w:rPr>
      </w:pPr>
      <w:r w:rsidRPr="003F7188">
        <w:rPr>
          <w:rFonts w:ascii="Arial" w:eastAsia="Arial" w:hAnsi="Arial" w:cs="Century Gothic Pro"/>
          <w:color w:val="64777E"/>
          <w:kern w:val="0"/>
          <w:sz w:val="18"/>
          <w:szCs w:val="18"/>
          <w14:ligatures w14:val="none"/>
        </w:rPr>
        <w:t xml:space="preserve">This Fund does not employ </w:t>
      </w:r>
      <w:r>
        <w:rPr>
          <w:rFonts w:ascii="Arial" w:eastAsia="Arial" w:hAnsi="Arial" w:cs="Century Gothic Pro"/>
          <w:color w:val="64777E"/>
          <w:kern w:val="0"/>
          <w:sz w:val="18"/>
          <w:szCs w:val="18"/>
          <w14:ligatures w14:val="none"/>
        </w:rPr>
        <w:t>leverage.</w:t>
      </w:r>
    </w:p>
    <w:p w14:paraId="474B4ACD" w14:textId="77777777" w:rsidR="00BE550E" w:rsidRPr="003F7188" w:rsidRDefault="00BE550E" w:rsidP="00BE550E">
      <w:pPr>
        <w:spacing w:after="0" w:line="240" w:lineRule="auto"/>
        <w:rPr>
          <w:rFonts w:ascii="Arial" w:eastAsia="Arial" w:hAnsi="Arial" w:cs="Century Gothic Pro"/>
          <w:color w:val="64777E"/>
          <w:kern w:val="0"/>
          <w:sz w:val="18"/>
          <w:szCs w:val="18"/>
          <w14:ligatures w14:val="none"/>
        </w:rPr>
      </w:pPr>
    </w:p>
    <w:p w14:paraId="59FB5D37" w14:textId="77777777" w:rsidR="00A76890" w:rsidRDefault="00A76890" w:rsidP="00BE550E">
      <w:pPr>
        <w:pBdr>
          <w:top w:val="nil"/>
          <w:left w:val="nil"/>
          <w:bottom w:val="nil"/>
          <w:right w:val="nil"/>
          <w:between w:val="nil"/>
        </w:pBdr>
        <w:spacing w:after="0" w:line="240" w:lineRule="auto"/>
        <w:rPr>
          <w:rFonts w:ascii="Arial" w:eastAsia="Calibri" w:hAnsi="Arial" w:cs="Times New Roman"/>
          <w:color w:val="76C204"/>
          <w:kern w:val="0"/>
          <w:sz w:val="28"/>
          <w:szCs w:val="28"/>
          <w14:ligatures w14:val="none"/>
        </w:rPr>
      </w:pPr>
    </w:p>
    <w:p w14:paraId="31BA5926" w14:textId="77777777" w:rsidR="00A76890" w:rsidRDefault="00A76890" w:rsidP="00BE550E">
      <w:pPr>
        <w:pBdr>
          <w:top w:val="nil"/>
          <w:left w:val="nil"/>
          <w:bottom w:val="nil"/>
          <w:right w:val="nil"/>
          <w:between w:val="nil"/>
        </w:pBdr>
        <w:spacing w:after="0" w:line="240" w:lineRule="auto"/>
        <w:rPr>
          <w:rFonts w:ascii="Arial" w:eastAsia="Calibri" w:hAnsi="Arial" w:cs="Times New Roman"/>
          <w:color w:val="76C204"/>
          <w:kern w:val="0"/>
          <w:sz w:val="28"/>
          <w:szCs w:val="28"/>
          <w14:ligatures w14:val="none"/>
        </w:rPr>
      </w:pPr>
    </w:p>
    <w:p w14:paraId="37AB6A10" w14:textId="77777777" w:rsidR="00A76890" w:rsidRDefault="00A76890" w:rsidP="00BE550E">
      <w:pPr>
        <w:pBdr>
          <w:top w:val="nil"/>
          <w:left w:val="nil"/>
          <w:bottom w:val="nil"/>
          <w:right w:val="nil"/>
          <w:between w:val="nil"/>
        </w:pBdr>
        <w:spacing w:after="0" w:line="240" w:lineRule="auto"/>
        <w:rPr>
          <w:rFonts w:ascii="Arial" w:eastAsia="Calibri" w:hAnsi="Arial" w:cs="Times New Roman"/>
          <w:color w:val="76C204"/>
          <w:kern w:val="0"/>
          <w:sz w:val="28"/>
          <w:szCs w:val="28"/>
          <w14:ligatures w14:val="none"/>
        </w:rPr>
      </w:pPr>
    </w:p>
    <w:p w14:paraId="0A274942" w14:textId="77777777" w:rsidR="00A76890" w:rsidRDefault="00A76890" w:rsidP="00BE550E">
      <w:pPr>
        <w:pBdr>
          <w:top w:val="nil"/>
          <w:left w:val="nil"/>
          <w:bottom w:val="nil"/>
          <w:right w:val="nil"/>
          <w:between w:val="nil"/>
        </w:pBdr>
        <w:spacing w:after="0" w:line="240" w:lineRule="auto"/>
        <w:rPr>
          <w:rFonts w:ascii="Arial" w:eastAsia="Calibri" w:hAnsi="Arial" w:cs="Times New Roman"/>
          <w:color w:val="76C204"/>
          <w:kern w:val="0"/>
          <w:sz w:val="28"/>
          <w:szCs w:val="28"/>
          <w14:ligatures w14:val="none"/>
        </w:rPr>
      </w:pPr>
    </w:p>
    <w:p w14:paraId="40883CA3" w14:textId="77777777" w:rsidR="00A76890" w:rsidRDefault="00A76890" w:rsidP="00BE550E">
      <w:pPr>
        <w:pBdr>
          <w:top w:val="nil"/>
          <w:left w:val="nil"/>
          <w:bottom w:val="nil"/>
          <w:right w:val="nil"/>
          <w:between w:val="nil"/>
        </w:pBdr>
        <w:spacing w:after="0" w:line="240" w:lineRule="auto"/>
        <w:rPr>
          <w:rFonts w:ascii="Arial" w:eastAsia="Calibri" w:hAnsi="Arial" w:cs="Times New Roman"/>
          <w:color w:val="76C204"/>
          <w:kern w:val="0"/>
          <w:sz w:val="28"/>
          <w:szCs w:val="28"/>
          <w14:ligatures w14:val="none"/>
        </w:rPr>
      </w:pPr>
    </w:p>
    <w:p w14:paraId="0213A106" w14:textId="77777777" w:rsidR="00A76890" w:rsidRDefault="00A76890" w:rsidP="00BE550E">
      <w:pPr>
        <w:pBdr>
          <w:top w:val="nil"/>
          <w:left w:val="nil"/>
          <w:bottom w:val="nil"/>
          <w:right w:val="nil"/>
          <w:between w:val="nil"/>
        </w:pBdr>
        <w:spacing w:after="0" w:line="240" w:lineRule="auto"/>
        <w:rPr>
          <w:rFonts w:ascii="Arial" w:eastAsia="Calibri" w:hAnsi="Arial" w:cs="Times New Roman"/>
          <w:color w:val="76C204"/>
          <w:kern w:val="0"/>
          <w:sz w:val="28"/>
          <w:szCs w:val="28"/>
          <w14:ligatures w14:val="none"/>
        </w:rPr>
      </w:pPr>
    </w:p>
    <w:p w14:paraId="2E8178F5" w14:textId="373C0B83" w:rsidR="00BE550E" w:rsidRPr="003F7188" w:rsidRDefault="00BE550E" w:rsidP="00BE550E">
      <w:pPr>
        <w:pBdr>
          <w:top w:val="nil"/>
          <w:left w:val="nil"/>
          <w:bottom w:val="nil"/>
          <w:right w:val="nil"/>
          <w:between w:val="nil"/>
        </w:pBdr>
        <w:spacing w:after="0" w:line="240" w:lineRule="auto"/>
        <w:rPr>
          <w:rFonts w:ascii="Arial" w:eastAsia="Calibri" w:hAnsi="Arial" w:cs="Times New Roman"/>
          <w:color w:val="76C204"/>
          <w:kern w:val="0"/>
          <w:sz w:val="28"/>
          <w:szCs w:val="28"/>
          <w14:ligatures w14:val="none"/>
        </w:rPr>
      </w:pPr>
      <w:r w:rsidRPr="003F7188">
        <w:rPr>
          <w:rFonts w:ascii="Arial" w:eastAsia="Calibri" w:hAnsi="Arial" w:cs="Times New Roman"/>
          <w:color w:val="76C204"/>
          <w:kern w:val="0"/>
          <w:sz w:val="28"/>
          <w:szCs w:val="28"/>
          <w14:ligatures w14:val="none"/>
        </w:rPr>
        <w:lastRenderedPageBreak/>
        <w:t>PERFORMANCE</w:t>
      </w:r>
      <w:r w:rsidR="00BF4A1F">
        <w:rPr>
          <w:rFonts w:ascii="Arial" w:eastAsia="Calibri" w:hAnsi="Arial" w:cs="Times New Roman"/>
          <w:color w:val="76C204"/>
          <w:kern w:val="0"/>
          <w:sz w:val="28"/>
          <w:szCs w:val="28"/>
          <w14:ligatures w14:val="none"/>
        </w:rPr>
        <w:t xml:space="preserve"> – 30/09/2024</w:t>
      </w:r>
    </w:p>
    <w:p w14:paraId="380A2AB8" w14:textId="77777777" w:rsidR="00BE550E" w:rsidRDefault="00BE550E" w:rsidP="00BE550E">
      <w:pPr>
        <w:pBdr>
          <w:top w:val="nil"/>
          <w:left w:val="nil"/>
          <w:bottom w:val="nil"/>
          <w:right w:val="nil"/>
          <w:between w:val="nil"/>
        </w:pBdr>
        <w:spacing w:after="0" w:line="240" w:lineRule="auto"/>
        <w:rPr>
          <w:rFonts w:eastAsia="Calibri" w:cs="Times New Roman"/>
          <w:color w:val="76C204"/>
          <w:sz w:val="28"/>
          <w:szCs w:val="28"/>
        </w:rPr>
      </w:pPr>
    </w:p>
    <w:p w14:paraId="1CF03379" w14:textId="7A73C505" w:rsidR="00BE550E" w:rsidRDefault="00BF4A1F" w:rsidP="00BE550E">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64777E"/>
          <w:sz w:val="18"/>
          <w:szCs w:val="18"/>
        </w:rPr>
      </w:pPr>
      <w:r w:rsidRPr="00BF4A1F">
        <w:rPr>
          <w:rStyle w:val="normaltextrun"/>
          <w:rFonts w:eastAsiaTheme="majorEastAsia"/>
        </w:rPr>
        <w:drawing>
          <wp:inline distT="0" distB="0" distL="0" distR="0" wp14:anchorId="64E35EDD" wp14:editId="32B12FC2">
            <wp:extent cx="5731510" cy="560705"/>
            <wp:effectExtent l="0" t="0" r="2540" b="0"/>
            <wp:docPr id="14453047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60705"/>
                    </a:xfrm>
                    <a:prstGeom prst="rect">
                      <a:avLst/>
                    </a:prstGeom>
                    <a:noFill/>
                    <a:ln>
                      <a:noFill/>
                    </a:ln>
                  </pic:spPr>
                </pic:pic>
              </a:graphicData>
            </a:graphic>
          </wp:inline>
        </w:drawing>
      </w:r>
    </w:p>
    <w:p w14:paraId="45F3747C" w14:textId="77777777" w:rsidR="00BE550E" w:rsidRDefault="00BE550E" w:rsidP="00BE550E">
      <w:pPr>
        <w:spacing w:after="120" w:line="276" w:lineRule="auto"/>
        <w:rPr>
          <w:rFonts w:ascii="Arial" w:eastAsia="Calibri" w:hAnsi="Arial" w:cs="Times New Roman (Body CS)"/>
          <w:color w:val="76C204"/>
          <w:kern w:val="0"/>
          <w:sz w:val="28"/>
          <w:szCs w:val="28"/>
          <w14:ligatures w14:val="none"/>
        </w:rPr>
      </w:pPr>
    </w:p>
    <w:p w14:paraId="27C8967C" w14:textId="77777777" w:rsidR="00BE550E" w:rsidRDefault="00BE550E" w:rsidP="00BE550E">
      <w:pPr>
        <w:spacing w:after="120" w:line="276" w:lineRule="auto"/>
        <w:rPr>
          <w:rFonts w:ascii="Arial" w:eastAsia="Calibri" w:hAnsi="Arial" w:cs="Times New Roman (Body CS)"/>
          <w:color w:val="76C204"/>
          <w:kern w:val="0"/>
          <w:sz w:val="28"/>
          <w:szCs w:val="28"/>
          <w14:ligatures w14:val="none"/>
        </w:rPr>
      </w:pPr>
      <w:r>
        <w:rPr>
          <w:rFonts w:ascii="Arial" w:eastAsia="Calibri" w:hAnsi="Arial" w:cs="Times New Roman (Body CS)"/>
          <w:color w:val="76C204"/>
          <w:kern w:val="0"/>
          <w:sz w:val="28"/>
          <w:szCs w:val="28"/>
          <w14:ligatures w14:val="none"/>
        </w:rPr>
        <w:t>Performance Opinion</w:t>
      </w:r>
    </w:p>
    <w:p w14:paraId="5C53C449" w14:textId="1F90AF15" w:rsidR="00F757EC" w:rsidRDefault="00BF4A1F" w:rsidP="00BE550E">
      <w:pPr>
        <w:spacing w:after="120" w:line="276" w:lineRule="auto"/>
        <w:rPr>
          <w:rFonts w:ascii="Arial" w:eastAsia="Arial" w:hAnsi="Arial" w:cs="Century Gothic Pro"/>
          <w:color w:val="64777E"/>
          <w:kern w:val="0"/>
          <w:sz w:val="18"/>
          <w:szCs w:val="18"/>
          <w14:ligatures w14:val="none"/>
        </w:rPr>
      </w:pPr>
      <w:r>
        <w:rPr>
          <w:rFonts w:ascii="Arial" w:eastAsia="Arial" w:hAnsi="Arial" w:cs="Century Gothic Pro"/>
          <w:color w:val="64777E"/>
          <w:kern w:val="0"/>
          <w:sz w:val="18"/>
          <w:szCs w:val="18"/>
          <w14:ligatures w14:val="none"/>
        </w:rPr>
        <w:t xml:space="preserve">The Fund has </w:t>
      </w:r>
      <w:r w:rsidR="00D535B4">
        <w:rPr>
          <w:rFonts w:ascii="Arial" w:eastAsia="Arial" w:hAnsi="Arial" w:cs="Century Gothic Pro"/>
          <w:color w:val="64777E"/>
          <w:kern w:val="0"/>
          <w:sz w:val="18"/>
          <w:szCs w:val="18"/>
          <w14:ligatures w14:val="none"/>
        </w:rPr>
        <w:t xml:space="preserve">outperformed over </w:t>
      </w:r>
      <w:r w:rsidR="00E7696D">
        <w:rPr>
          <w:rFonts w:ascii="Arial" w:eastAsia="Arial" w:hAnsi="Arial" w:cs="Century Gothic Pro"/>
          <w:color w:val="64777E"/>
          <w:kern w:val="0"/>
          <w:sz w:val="18"/>
          <w:szCs w:val="18"/>
          <w14:ligatures w14:val="none"/>
        </w:rPr>
        <w:t>one-, three- and five-year</w:t>
      </w:r>
      <w:r w:rsidR="00D535B4">
        <w:rPr>
          <w:rFonts w:ascii="Arial" w:eastAsia="Arial" w:hAnsi="Arial" w:cs="Century Gothic Pro"/>
          <w:color w:val="64777E"/>
          <w:kern w:val="0"/>
          <w:sz w:val="18"/>
          <w:szCs w:val="18"/>
          <w14:ligatures w14:val="none"/>
        </w:rPr>
        <w:t xml:space="preserve"> periods.</w:t>
      </w:r>
      <w:r w:rsidR="00CE35DC">
        <w:rPr>
          <w:rFonts w:ascii="Arial" w:eastAsia="Arial" w:hAnsi="Arial" w:cs="Century Gothic Pro"/>
          <w:color w:val="64777E"/>
          <w:kern w:val="0"/>
          <w:sz w:val="18"/>
          <w:szCs w:val="18"/>
          <w14:ligatures w14:val="none"/>
        </w:rPr>
        <w:t xml:space="preserve"> The Fund is expected to </w:t>
      </w:r>
      <w:r w:rsidR="00644CD3">
        <w:rPr>
          <w:rFonts w:ascii="Arial" w:eastAsia="Arial" w:hAnsi="Arial" w:cs="Century Gothic Pro"/>
          <w:color w:val="64777E"/>
          <w:kern w:val="0"/>
          <w:sz w:val="18"/>
          <w:szCs w:val="18"/>
          <w14:ligatures w14:val="none"/>
        </w:rPr>
        <w:t xml:space="preserve">perform through cycles with its distinct approach to quality. The manager separates stocks into three different buckets that have different levels of risk and return drivers. </w:t>
      </w:r>
    </w:p>
    <w:p w14:paraId="2F964C15" w14:textId="5CE60362" w:rsidR="009020F9" w:rsidRDefault="009020F9" w:rsidP="00BE550E">
      <w:pPr>
        <w:spacing w:after="120" w:line="276" w:lineRule="auto"/>
        <w:rPr>
          <w:rFonts w:ascii="Arial" w:eastAsia="Arial" w:hAnsi="Arial" w:cs="Century Gothic Pro"/>
          <w:color w:val="64777E"/>
          <w:kern w:val="0"/>
          <w:sz w:val="18"/>
          <w:szCs w:val="18"/>
          <w14:ligatures w14:val="none"/>
        </w:rPr>
      </w:pPr>
      <w:r w:rsidRPr="009020F9">
        <w:rPr>
          <w:rFonts w:ascii="Arial" w:eastAsia="Arial" w:hAnsi="Arial" w:cs="Century Gothic Pro"/>
          <w:color w:val="64777E"/>
          <w:kern w:val="0"/>
          <w:sz w:val="18"/>
          <w:szCs w:val="18"/>
          <w14:ligatures w14:val="none"/>
        </w:rPr>
        <w:t>A global small-cap manager enhances diversification in a multi-manager portfolio by providing exposure to different geographies</w:t>
      </w:r>
      <w:r>
        <w:rPr>
          <w:rFonts w:ascii="Arial" w:eastAsia="Arial" w:hAnsi="Arial" w:cs="Century Gothic Pro"/>
          <w:color w:val="64777E"/>
          <w:kern w:val="0"/>
          <w:sz w:val="18"/>
          <w:szCs w:val="18"/>
          <w14:ligatures w14:val="none"/>
        </w:rPr>
        <w:t xml:space="preserve">, </w:t>
      </w:r>
      <w:r w:rsidRPr="009020F9">
        <w:rPr>
          <w:rFonts w:ascii="Arial" w:eastAsia="Arial" w:hAnsi="Arial" w:cs="Century Gothic Pro"/>
          <w:color w:val="64777E"/>
          <w:kern w:val="0"/>
          <w:sz w:val="18"/>
          <w:szCs w:val="18"/>
          <w14:ligatures w14:val="none"/>
        </w:rPr>
        <w:t>currencies</w:t>
      </w:r>
      <w:r>
        <w:rPr>
          <w:rFonts w:ascii="Arial" w:eastAsia="Arial" w:hAnsi="Arial" w:cs="Century Gothic Pro"/>
          <w:color w:val="64777E"/>
          <w:kern w:val="0"/>
          <w:sz w:val="18"/>
          <w:szCs w:val="18"/>
          <w14:ligatures w14:val="none"/>
        </w:rPr>
        <w:t xml:space="preserve"> and </w:t>
      </w:r>
      <w:r w:rsidRPr="009020F9">
        <w:rPr>
          <w:rFonts w:ascii="Arial" w:eastAsia="Arial" w:hAnsi="Arial" w:cs="Century Gothic Pro"/>
          <w:color w:val="64777E"/>
          <w:kern w:val="0"/>
          <w:sz w:val="18"/>
          <w:szCs w:val="18"/>
          <w14:ligatures w14:val="none"/>
        </w:rPr>
        <w:t>reducing the reliance on domestic economic factors. Additionally, the sector composition and growth profile of global small caps differ from those of domestic small caps, improving the portfolio's return potential while mitigating risk.</w:t>
      </w:r>
    </w:p>
    <w:p w14:paraId="276F0D77" w14:textId="3B62F29F" w:rsidR="004018E2" w:rsidRDefault="004018E2" w:rsidP="00BE550E">
      <w:pPr>
        <w:spacing w:after="120" w:line="276" w:lineRule="auto"/>
        <w:rPr>
          <w:rFonts w:ascii="Arial" w:eastAsia="Arial" w:hAnsi="Arial" w:cs="Century Gothic Pro"/>
          <w:color w:val="64777E"/>
          <w:kern w:val="0"/>
          <w:sz w:val="18"/>
          <w:szCs w:val="18"/>
          <w14:ligatures w14:val="none"/>
        </w:rPr>
      </w:pPr>
      <w:r w:rsidRPr="004018E2">
        <w:rPr>
          <w:rFonts w:ascii="Arial" w:eastAsia="Arial" w:hAnsi="Arial" w:cs="Century Gothic Pro"/>
          <w:color w:val="64777E"/>
          <w:kern w:val="0"/>
          <w:sz w:val="18"/>
          <w:szCs w:val="18"/>
          <w14:ligatures w14:val="none"/>
        </w:rPr>
        <w:t>Atchison supports active management in the small-cap space, emphasi</w:t>
      </w:r>
      <w:r w:rsidR="00CE35DC">
        <w:rPr>
          <w:rFonts w:ascii="Arial" w:eastAsia="Arial" w:hAnsi="Arial" w:cs="Century Gothic Pro"/>
          <w:color w:val="64777E"/>
          <w:kern w:val="0"/>
          <w:sz w:val="18"/>
          <w:szCs w:val="18"/>
          <w14:ligatures w14:val="none"/>
        </w:rPr>
        <w:t>s</w:t>
      </w:r>
      <w:r w:rsidRPr="004018E2">
        <w:rPr>
          <w:rFonts w:ascii="Arial" w:eastAsia="Arial" w:hAnsi="Arial" w:cs="Century Gothic Pro"/>
          <w:color w:val="64777E"/>
          <w:kern w:val="0"/>
          <w:sz w:val="18"/>
          <w:szCs w:val="18"/>
          <w14:ligatures w14:val="none"/>
        </w:rPr>
        <w:t xml:space="preserve">ing that its unique market dynamics and complexities make it well-suited for active strategies. </w:t>
      </w:r>
      <w:r w:rsidR="00CE35DC">
        <w:rPr>
          <w:rFonts w:ascii="Arial" w:eastAsia="Arial" w:hAnsi="Arial" w:cs="Century Gothic Pro"/>
          <w:color w:val="64777E"/>
          <w:kern w:val="0"/>
          <w:sz w:val="18"/>
          <w:szCs w:val="18"/>
          <w14:ligatures w14:val="none"/>
        </w:rPr>
        <w:t>Atchison</w:t>
      </w:r>
      <w:r w:rsidRPr="004018E2">
        <w:rPr>
          <w:rFonts w:ascii="Arial" w:eastAsia="Arial" w:hAnsi="Arial" w:cs="Century Gothic Pro"/>
          <w:color w:val="64777E"/>
          <w:kern w:val="0"/>
          <w:sz w:val="18"/>
          <w:szCs w:val="18"/>
          <w14:ligatures w14:val="none"/>
        </w:rPr>
        <w:t xml:space="preserve"> also notes that the </w:t>
      </w:r>
      <w:r w:rsidR="00CE35DC">
        <w:rPr>
          <w:rFonts w:ascii="Arial" w:eastAsia="Arial" w:hAnsi="Arial" w:cs="Century Gothic Pro"/>
          <w:color w:val="64777E"/>
          <w:kern w:val="0"/>
          <w:sz w:val="18"/>
          <w:szCs w:val="18"/>
          <w14:ligatures w14:val="none"/>
        </w:rPr>
        <w:t>asymmetric</w:t>
      </w:r>
      <w:r w:rsidRPr="004018E2">
        <w:rPr>
          <w:rFonts w:ascii="Arial" w:eastAsia="Arial" w:hAnsi="Arial" w:cs="Century Gothic Pro"/>
          <w:color w:val="64777E"/>
          <w:kern w:val="0"/>
          <w:sz w:val="18"/>
          <w:szCs w:val="18"/>
          <w14:ligatures w14:val="none"/>
        </w:rPr>
        <w:t xml:space="preserve"> flow of information in this segment further reinforces the advantages of an active approach.</w:t>
      </w:r>
    </w:p>
    <w:p w14:paraId="79C9795A" w14:textId="77777777" w:rsidR="004018E2" w:rsidRDefault="004018E2" w:rsidP="00BE550E">
      <w:pPr>
        <w:spacing w:after="120" w:line="276" w:lineRule="auto"/>
        <w:rPr>
          <w:rFonts w:ascii="Arial" w:eastAsia="Calibri" w:hAnsi="Arial" w:cs="Times New Roman (Body CS)"/>
          <w:color w:val="76C204"/>
          <w:kern w:val="0"/>
          <w:sz w:val="28"/>
          <w:szCs w:val="28"/>
          <w14:ligatures w14:val="none"/>
        </w:rPr>
      </w:pPr>
    </w:p>
    <w:p w14:paraId="4D94D7D4" w14:textId="77777777" w:rsidR="00BE550E" w:rsidRPr="006D3AFE" w:rsidRDefault="00BE550E" w:rsidP="00BE550E">
      <w:pPr>
        <w:spacing w:after="120" w:line="276" w:lineRule="auto"/>
        <w:rPr>
          <w:rFonts w:ascii="Arial" w:eastAsia="Calibri" w:hAnsi="Arial" w:cs="Times New Roman (Body CS)"/>
          <w:color w:val="76C204"/>
          <w:kern w:val="0"/>
          <w:sz w:val="28"/>
          <w:szCs w:val="28"/>
          <w14:ligatures w14:val="none"/>
        </w:rPr>
      </w:pPr>
      <w:r w:rsidRPr="006D3AFE">
        <w:rPr>
          <w:rFonts w:ascii="Arial" w:eastAsia="Calibri" w:hAnsi="Arial" w:cs="Times New Roman (Body CS)"/>
          <w:color w:val="76C204"/>
          <w:kern w:val="0"/>
          <w:sz w:val="28"/>
          <w:szCs w:val="28"/>
          <w14:ligatures w14:val="none"/>
        </w:rPr>
        <w:t>CONCLUSION</w:t>
      </w:r>
    </w:p>
    <w:p w14:paraId="78A8FBC2" w14:textId="50B742E6" w:rsidR="00BE550E" w:rsidRDefault="00BE550E" w:rsidP="00650784">
      <w:pPr>
        <w:numPr>
          <w:ilvl w:val="0"/>
          <w:numId w:val="2"/>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sidRPr="006D3AFE">
        <w:rPr>
          <w:rFonts w:ascii="Arial" w:eastAsia="Arial" w:hAnsi="Arial" w:cs="Minion Pro"/>
          <w:color w:val="64777E"/>
          <w:kern w:val="0"/>
          <w:sz w:val="18"/>
          <w:szCs w:val="18"/>
          <w:lang w:val="en-US"/>
          <w14:ligatures w14:val="none"/>
        </w:rPr>
        <w:t xml:space="preserve">The </w:t>
      </w:r>
      <w:r w:rsidR="00E41D70">
        <w:rPr>
          <w:rFonts w:ascii="Arial" w:eastAsia="Arial" w:hAnsi="Arial" w:cs="Minion Pro"/>
          <w:color w:val="64777E"/>
          <w:kern w:val="0"/>
          <w:sz w:val="18"/>
          <w:szCs w:val="18"/>
          <w:lang w:val="en-US"/>
          <w14:ligatures w14:val="none"/>
        </w:rPr>
        <w:t>Fund is le</w:t>
      </w:r>
      <w:r w:rsidR="00BA624E">
        <w:rPr>
          <w:rFonts w:ascii="Arial" w:eastAsia="Arial" w:hAnsi="Arial" w:cs="Minion Pro"/>
          <w:color w:val="64777E"/>
          <w:kern w:val="0"/>
          <w:sz w:val="18"/>
          <w:szCs w:val="18"/>
          <w:lang w:val="en-US"/>
          <w14:ligatures w14:val="none"/>
        </w:rPr>
        <w:t>d</w:t>
      </w:r>
      <w:r w:rsidR="00E41D70">
        <w:rPr>
          <w:rFonts w:ascii="Arial" w:eastAsia="Arial" w:hAnsi="Arial" w:cs="Minion Pro"/>
          <w:color w:val="64777E"/>
          <w:kern w:val="0"/>
          <w:sz w:val="18"/>
          <w:szCs w:val="18"/>
          <w:lang w:val="en-US"/>
          <w14:ligatures w14:val="none"/>
        </w:rPr>
        <w:t xml:space="preserve"> by</w:t>
      </w:r>
      <w:r w:rsidR="00182445">
        <w:rPr>
          <w:rFonts w:ascii="Arial" w:eastAsia="Arial" w:hAnsi="Arial" w:cs="Minion Pro"/>
          <w:color w:val="64777E"/>
          <w:kern w:val="0"/>
          <w:sz w:val="18"/>
          <w:szCs w:val="18"/>
          <w:lang w:val="en-US"/>
          <w14:ligatures w14:val="none"/>
        </w:rPr>
        <w:t xml:space="preserve"> a highly capable and experienced PM. </w:t>
      </w:r>
      <w:r w:rsidR="00387044">
        <w:rPr>
          <w:rFonts w:ascii="Arial" w:eastAsia="Arial" w:hAnsi="Arial" w:cs="Minion Pro"/>
          <w:color w:val="64777E"/>
          <w:kern w:val="0"/>
          <w:sz w:val="18"/>
          <w:szCs w:val="18"/>
          <w:lang w:val="en-US"/>
          <w14:ligatures w14:val="none"/>
        </w:rPr>
        <w:t xml:space="preserve">Pleasingly this is the only strategy </w:t>
      </w:r>
      <w:r w:rsidR="00B24685">
        <w:rPr>
          <w:rFonts w:ascii="Arial" w:eastAsia="Arial" w:hAnsi="Arial" w:cs="Minion Pro"/>
          <w:color w:val="64777E"/>
          <w:kern w:val="0"/>
          <w:sz w:val="18"/>
          <w:szCs w:val="18"/>
          <w:lang w:val="en-US"/>
          <w14:ligatures w14:val="none"/>
        </w:rPr>
        <w:t>Fairlight,</w:t>
      </w:r>
      <w:r w:rsidR="00387044">
        <w:rPr>
          <w:rFonts w:ascii="Arial" w:eastAsia="Arial" w:hAnsi="Arial" w:cs="Minion Pro"/>
          <w:color w:val="64777E"/>
          <w:kern w:val="0"/>
          <w:sz w:val="18"/>
          <w:szCs w:val="18"/>
          <w:lang w:val="en-US"/>
          <w14:ligatures w14:val="none"/>
        </w:rPr>
        <w:t xml:space="preserve"> and the team are responsible for and as such there are no distractions. </w:t>
      </w:r>
      <w:r w:rsidR="00B24685">
        <w:rPr>
          <w:rFonts w:ascii="Arial" w:eastAsia="Arial" w:hAnsi="Arial" w:cs="Minion Pro"/>
          <w:color w:val="64777E"/>
          <w:kern w:val="0"/>
          <w:sz w:val="18"/>
          <w:szCs w:val="18"/>
          <w:lang w:val="en-US"/>
          <w14:ligatures w14:val="none"/>
        </w:rPr>
        <w:t xml:space="preserve">Perennial look after back office and distribution which takes pressure off the team. </w:t>
      </w:r>
      <w:r w:rsidR="00E41D70">
        <w:rPr>
          <w:rFonts w:ascii="Arial" w:eastAsia="Arial" w:hAnsi="Arial" w:cs="Minion Pro"/>
          <w:color w:val="64777E"/>
          <w:kern w:val="0"/>
          <w:sz w:val="18"/>
          <w:szCs w:val="18"/>
          <w:lang w:val="en-US"/>
          <w14:ligatures w14:val="none"/>
        </w:rPr>
        <w:t xml:space="preserve"> </w:t>
      </w:r>
    </w:p>
    <w:p w14:paraId="6D7BB601" w14:textId="128553A0" w:rsidR="00B24685" w:rsidRDefault="006248C1" w:rsidP="00650784">
      <w:pPr>
        <w:numPr>
          <w:ilvl w:val="0"/>
          <w:numId w:val="2"/>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color w:val="64777E"/>
          <w:kern w:val="0"/>
          <w:sz w:val="18"/>
          <w:szCs w:val="18"/>
          <w:lang w:val="en-US"/>
          <w14:ligatures w14:val="none"/>
        </w:rPr>
        <w:t>No capacity concern</w:t>
      </w:r>
      <w:r w:rsidR="00A76890">
        <w:rPr>
          <w:rFonts w:ascii="Arial" w:eastAsia="Arial" w:hAnsi="Arial" w:cs="Minion Pro"/>
          <w:color w:val="64777E"/>
          <w:kern w:val="0"/>
          <w:sz w:val="18"/>
          <w:szCs w:val="18"/>
          <w:lang w:val="en-US"/>
          <w14:ligatures w14:val="none"/>
        </w:rPr>
        <w:t xml:space="preserve">s </w:t>
      </w:r>
      <w:r>
        <w:rPr>
          <w:rFonts w:ascii="Arial" w:eastAsia="Arial" w:hAnsi="Arial" w:cs="Minion Pro"/>
          <w:color w:val="64777E"/>
          <w:kern w:val="0"/>
          <w:sz w:val="18"/>
          <w:szCs w:val="18"/>
          <w:lang w:val="en-US"/>
          <w14:ligatures w14:val="none"/>
        </w:rPr>
        <w:t xml:space="preserve">at current levels with AUD$1.6bn invested in the Fund. The manager has indicated a US$4bn capacity target and as such there is plenty of headroom for growth. </w:t>
      </w:r>
    </w:p>
    <w:p w14:paraId="302492F3" w14:textId="7463B407" w:rsidR="00A76890" w:rsidRDefault="006D7D9A" w:rsidP="00650784">
      <w:pPr>
        <w:numPr>
          <w:ilvl w:val="0"/>
          <w:numId w:val="2"/>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color w:val="64777E"/>
          <w:kern w:val="0"/>
          <w:sz w:val="18"/>
          <w:szCs w:val="18"/>
          <w:lang w:val="en-US"/>
          <w14:ligatures w14:val="none"/>
        </w:rPr>
        <w:t xml:space="preserve">The investment approach is deemed to be thorough and repeatable with a clear philosophy and target companies. Their internal systems and </w:t>
      </w:r>
      <w:r w:rsidR="00BD5AB4">
        <w:rPr>
          <w:rFonts w:ascii="Arial" w:eastAsia="Arial" w:hAnsi="Arial" w:cs="Minion Pro"/>
          <w:color w:val="64777E"/>
          <w:kern w:val="0"/>
          <w:sz w:val="18"/>
          <w:szCs w:val="18"/>
          <w:lang w:val="en-US"/>
          <w14:ligatures w14:val="none"/>
        </w:rPr>
        <w:t xml:space="preserve">research &amp; development partnership with Calibre is viewed as a competitive edge. </w:t>
      </w:r>
    </w:p>
    <w:p w14:paraId="4D5536DC" w14:textId="722B5157" w:rsidR="00BD5AB4" w:rsidRDefault="000C4D8A" w:rsidP="00650784">
      <w:pPr>
        <w:numPr>
          <w:ilvl w:val="0"/>
          <w:numId w:val="2"/>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color w:val="64777E"/>
          <w:kern w:val="0"/>
          <w:sz w:val="18"/>
          <w:szCs w:val="18"/>
          <w:lang w:val="en-US"/>
          <w14:ligatures w14:val="none"/>
        </w:rPr>
        <w:t xml:space="preserve">Fees are high in an absolute sense and on the higher end of small cap fundamental peers. Consequence of investing in an Australian based </w:t>
      </w:r>
      <w:r w:rsidR="005D2F2E">
        <w:rPr>
          <w:rFonts w:ascii="Arial" w:eastAsia="Arial" w:hAnsi="Arial" w:cs="Minion Pro"/>
          <w:color w:val="64777E"/>
          <w:kern w:val="0"/>
          <w:sz w:val="18"/>
          <w:szCs w:val="18"/>
          <w:lang w:val="en-US"/>
          <w14:ligatures w14:val="none"/>
        </w:rPr>
        <w:t xml:space="preserve">Global equities manager. </w:t>
      </w:r>
    </w:p>
    <w:p w14:paraId="5CAD2D0E" w14:textId="2B198A3C" w:rsidR="005D2F2E" w:rsidRDefault="005D2F2E" w:rsidP="00650784">
      <w:pPr>
        <w:numPr>
          <w:ilvl w:val="0"/>
          <w:numId w:val="2"/>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color w:val="64777E"/>
          <w:kern w:val="0"/>
          <w:sz w:val="18"/>
          <w:szCs w:val="18"/>
          <w:lang w:val="en-US"/>
          <w14:ligatures w14:val="none"/>
        </w:rPr>
        <w:t xml:space="preserve">Investment case here is based on a </w:t>
      </w:r>
      <w:r w:rsidR="00520E46">
        <w:rPr>
          <w:rFonts w:ascii="Arial" w:eastAsia="Arial" w:hAnsi="Arial" w:cs="Minion Pro"/>
          <w:color w:val="64777E"/>
          <w:kern w:val="0"/>
          <w:sz w:val="18"/>
          <w:szCs w:val="18"/>
          <w:lang w:val="en-US"/>
          <w14:ligatures w14:val="none"/>
        </w:rPr>
        <w:t>high-quality</w:t>
      </w:r>
      <w:r>
        <w:rPr>
          <w:rFonts w:ascii="Arial" w:eastAsia="Arial" w:hAnsi="Arial" w:cs="Minion Pro"/>
          <w:color w:val="64777E"/>
          <w:kern w:val="0"/>
          <w:sz w:val="18"/>
          <w:szCs w:val="18"/>
          <w:lang w:val="en-US"/>
          <w14:ligatures w14:val="none"/>
        </w:rPr>
        <w:t xml:space="preserve"> portfolio of companies that </w:t>
      </w:r>
      <w:r w:rsidR="006238FD">
        <w:rPr>
          <w:rFonts w:ascii="Arial" w:eastAsia="Arial" w:hAnsi="Arial" w:cs="Minion Pro"/>
          <w:color w:val="64777E"/>
          <w:kern w:val="0"/>
          <w:sz w:val="18"/>
          <w:szCs w:val="18"/>
          <w:lang w:val="en-US"/>
          <w14:ligatures w14:val="none"/>
        </w:rPr>
        <w:t xml:space="preserve">will </w:t>
      </w:r>
      <w:r w:rsidR="00520E46">
        <w:rPr>
          <w:rFonts w:ascii="Arial" w:eastAsia="Arial" w:hAnsi="Arial" w:cs="Minion Pro"/>
          <w:color w:val="64777E"/>
          <w:kern w:val="0"/>
          <w:sz w:val="18"/>
          <w:szCs w:val="18"/>
          <w:lang w:val="en-US"/>
          <w14:ligatures w14:val="none"/>
        </w:rPr>
        <w:t>complement domestic</w:t>
      </w:r>
      <w:r w:rsidR="006238FD">
        <w:rPr>
          <w:rFonts w:ascii="Arial" w:eastAsia="Arial" w:hAnsi="Arial" w:cs="Minion Pro"/>
          <w:color w:val="64777E"/>
          <w:kern w:val="0"/>
          <w:sz w:val="18"/>
          <w:szCs w:val="18"/>
          <w:lang w:val="en-US"/>
          <w14:ligatures w14:val="none"/>
        </w:rPr>
        <w:t xml:space="preserve"> small/mid cap exposure</w:t>
      </w:r>
      <w:r w:rsidR="00520E46">
        <w:rPr>
          <w:rFonts w:ascii="Arial" w:eastAsia="Arial" w:hAnsi="Arial" w:cs="Minion Pro"/>
          <w:color w:val="64777E"/>
          <w:kern w:val="0"/>
          <w:sz w:val="18"/>
          <w:szCs w:val="18"/>
          <w:lang w:val="en-US"/>
          <w14:ligatures w14:val="none"/>
        </w:rPr>
        <w:t xml:space="preserve"> in a multi manager portfolio</w:t>
      </w:r>
      <w:r w:rsidR="006238FD">
        <w:rPr>
          <w:rFonts w:ascii="Arial" w:eastAsia="Arial" w:hAnsi="Arial" w:cs="Minion Pro"/>
          <w:color w:val="64777E"/>
          <w:kern w:val="0"/>
          <w:sz w:val="18"/>
          <w:szCs w:val="18"/>
          <w:lang w:val="en-US"/>
          <w14:ligatures w14:val="none"/>
        </w:rPr>
        <w:t xml:space="preserve">. Non-Austrlian portfolio provides the diversification benefit and </w:t>
      </w:r>
      <w:r w:rsidR="007006F9">
        <w:rPr>
          <w:rFonts w:ascii="Arial" w:eastAsia="Arial" w:hAnsi="Arial" w:cs="Minion Pro"/>
          <w:color w:val="64777E"/>
          <w:kern w:val="0"/>
          <w:sz w:val="18"/>
          <w:szCs w:val="18"/>
          <w:lang w:val="en-US"/>
          <w14:ligatures w14:val="none"/>
        </w:rPr>
        <w:t xml:space="preserve">reduces liquidity issues while </w:t>
      </w:r>
      <w:r w:rsidR="00BD089E">
        <w:rPr>
          <w:rFonts w:ascii="Arial" w:eastAsia="Arial" w:hAnsi="Arial" w:cs="Minion Pro"/>
          <w:color w:val="64777E"/>
          <w:kern w:val="0"/>
          <w:sz w:val="18"/>
          <w:szCs w:val="18"/>
          <w:lang w:val="en-US"/>
          <w14:ligatures w14:val="none"/>
        </w:rPr>
        <w:t xml:space="preserve">maintaining </w:t>
      </w:r>
      <w:r w:rsidR="007006F9">
        <w:rPr>
          <w:rFonts w:ascii="Arial" w:eastAsia="Arial" w:hAnsi="Arial" w:cs="Minion Pro"/>
          <w:color w:val="64777E"/>
          <w:kern w:val="0"/>
          <w:sz w:val="18"/>
          <w:szCs w:val="18"/>
          <w:lang w:val="en-US"/>
          <w14:ligatures w14:val="none"/>
        </w:rPr>
        <w:t xml:space="preserve">exposure to the small cap factor. </w:t>
      </w:r>
    </w:p>
    <w:p w14:paraId="05CF3B17" w14:textId="77777777" w:rsidR="00BE550E" w:rsidRDefault="00BE550E" w:rsidP="00BE550E">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7A1A8D56" w14:textId="77777777" w:rsidR="00BE550E" w:rsidRDefault="00BE550E" w:rsidP="00BE550E">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67AD0DFB" w14:textId="77777777" w:rsidR="00BE550E" w:rsidRDefault="00BE550E" w:rsidP="00BE550E">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74FE4C31" w14:textId="77777777" w:rsidR="00BE550E" w:rsidRDefault="00BE550E" w:rsidP="00BE550E">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5ABDF739" w14:textId="77777777" w:rsidR="00BE550E" w:rsidRDefault="00BE550E" w:rsidP="00BE550E">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44C236A0" w14:textId="77777777" w:rsidR="00BE550E" w:rsidRDefault="00BE550E" w:rsidP="00BE550E">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69B667B2" w14:textId="77777777" w:rsidR="00BE550E" w:rsidRDefault="00BE550E" w:rsidP="00BE550E">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15B5141F" w14:textId="77777777" w:rsidR="00BE550E" w:rsidRDefault="00BE550E" w:rsidP="00BE550E">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5ED1B7C9" w14:textId="77777777" w:rsidR="00BE550E" w:rsidRDefault="00BE550E" w:rsidP="00BE550E">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2E8481A6" w14:textId="77777777" w:rsidR="00BE550E" w:rsidRDefault="00BE550E" w:rsidP="00BE550E">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2C6E78CD" w14:textId="77777777" w:rsidR="00BE550E" w:rsidRDefault="00BE550E" w:rsidP="00BE550E">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251D0C7E" w14:textId="77777777" w:rsidR="00BE550E" w:rsidRDefault="00BE550E" w:rsidP="00BE550E">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66750434" w14:textId="77777777" w:rsidR="00BE550E" w:rsidRDefault="00BE550E" w:rsidP="00BE550E">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322F3534" w14:textId="77777777" w:rsidR="00BE550E" w:rsidRDefault="00BE550E" w:rsidP="00BE550E">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5818DE76" w14:textId="77777777" w:rsidR="00BE550E" w:rsidRDefault="00BE550E" w:rsidP="00BE550E">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4D1B3526" w14:textId="77777777" w:rsidR="00BE550E" w:rsidRDefault="00BE550E" w:rsidP="00BE550E">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27D2DC4E" w14:textId="77777777" w:rsidR="00BE550E" w:rsidRDefault="00BE550E" w:rsidP="00BE550E">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5F5A6C95" w14:textId="77777777" w:rsidR="00BE550E" w:rsidRDefault="00BE550E" w:rsidP="00BE550E">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2B047E93" w14:textId="77777777" w:rsidR="00BE550E" w:rsidRDefault="00BE550E" w:rsidP="00BE550E">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66789D33" w14:textId="77777777" w:rsidR="00BE550E" w:rsidRDefault="00BE550E" w:rsidP="00BE550E">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3C339887" w14:textId="77777777" w:rsidR="00BE550E" w:rsidRDefault="00BE550E" w:rsidP="00BE550E">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226F3535" w14:textId="77777777" w:rsidR="00BE550E" w:rsidRDefault="00BE550E" w:rsidP="00BE550E">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1F58F4A5" w14:textId="77777777" w:rsidR="00BE550E" w:rsidRDefault="00BE550E" w:rsidP="00BE550E">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32AE0EDF" w14:textId="77777777" w:rsidR="00BE550E" w:rsidRDefault="00BE550E" w:rsidP="00BE550E">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5A7D4BF0" w14:textId="77777777" w:rsidR="00BE550E" w:rsidRDefault="00BE550E" w:rsidP="00BE550E">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13D7289B" w14:textId="77777777" w:rsidR="00BE550E" w:rsidRDefault="00BE550E" w:rsidP="00BE550E">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403D83CC" w14:textId="77777777" w:rsidR="00BE550E" w:rsidRDefault="00BE550E" w:rsidP="00BE550E">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12F5F983" w14:textId="77777777" w:rsidR="00BE550E" w:rsidRDefault="00BE550E" w:rsidP="00BE550E">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0171C640" w14:textId="77777777" w:rsidR="00BE550E" w:rsidRDefault="00BE550E" w:rsidP="00BE550E">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04CF2672" w14:textId="77777777" w:rsidR="00BE550E" w:rsidRDefault="00BE550E" w:rsidP="00BE550E">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sidRPr="00D67D76">
        <w:rPr>
          <w:noProof/>
        </w:rPr>
        <w:drawing>
          <wp:anchor distT="0" distB="0" distL="114300" distR="114300" simplePos="0" relativeHeight="251658241" behindDoc="0" locked="0" layoutInCell="1" allowOverlap="1" wp14:anchorId="5108A1EF" wp14:editId="53392950">
            <wp:simplePos x="0" y="0"/>
            <wp:positionH relativeFrom="page">
              <wp:align>left</wp:align>
            </wp:positionH>
            <wp:positionV relativeFrom="paragraph">
              <wp:posOffset>-914076</wp:posOffset>
            </wp:positionV>
            <wp:extent cx="7607300" cy="10928985"/>
            <wp:effectExtent l="0" t="0" r="0" b="5715"/>
            <wp:wrapNone/>
            <wp:docPr id="41" name="Picture 35" descr="A picture containing shap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Picture 35" descr="A picture containing shape&#10;&#10;Description automatically generated"/>
                    <pic:cNvPicPr>
                      <a:picLocks noChangeArrowheads="1"/>
                    </pic:cNvPicPr>
                  </pic:nvPicPr>
                  <pic:blipFill>
                    <a:blip r:embed="rId15">
                      <a:extLst>
                        <a:ext uri="{28A0092B-C50C-407E-A947-70E740481C1C}">
                          <a14:useLocalDpi xmlns:a14="http://schemas.microsoft.com/office/drawing/2010/main" val="0"/>
                        </a:ext>
                      </a:extLst>
                    </a:blip>
                    <a:srcRect l="749" r="749"/>
                    <a:stretch>
                      <a:fillRect/>
                    </a:stretch>
                  </pic:blipFill>
                  <pic:spPr bwMode="auto">
                    <a:xfrm>
                      <a:off x="0" y="0"/>
                      <a:ext cx="7607300" cy="10928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02A8CD" w14:textId="77777777" w:rsidR="00BE550E" w:rsidRDefault="00BE550E" w:rsidP="00BE550E">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73128716" w14:textId="77777777" w:rsidR="00BE550E" w:rsidRDefault="00BE550E" w:rsidP="00BE550E">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28D543EC" w14:textId="77777777" w:rsidR="00BE550E" w:rsidRDefault="00BE550E" w:rsidP="00BE550E">
      <w:pPr>
        <w:pStyle w:val="BasicParagraph"/>
        <w:rPr>
          <w:sz w:val="22"/>
          <w:szCs w:val="22"/>
        </w:rPr>
      </w:pPr>
    </w:p>
    <w:p w14:paraId="189B7434" w14:textId="77777777" w:rsidR="00BE550E" w:rsidRDefault="00BE550E" w:rsidP="00BE550E">
      <w:pPr>
        <w:pStyle w:val="BasicParagraph"/>
        <w:rPr>
          <w:sz w:val="22"/>
          <w:szCs w:val="22"/>
        </w:rPr>
      </w:pPr>
    </w:p>
    <w:p w14:paraId="1EC59C99" w14:textId="77777777" w:rsidR="00BE550E" w:rsidRDefault="00BE550E" w:rsidP="00BE550E">
      <w:pPr>
        <w:pStyle w:val="BasicParagraph"/>
        <w:rPr>
          <w:sz w:val="22"/>
          <w:szCs w:val="22"/>
        </w:rPr>
      </w:pPr>
    </w:p>
    <w:p w14:paraId="1E156BC8" w14:textId="77777777" w:rsidR="00BE550E" w:rsidRDefault="00BE550E" w:rsidP="00BE550E">
      <w:pPr>
        <w:pStyle w:val="BasicParagraph"/>
        <w:rPr>
          <w:sz w:val="22"/>
          <w:szCs w:val="22"/>
        </w:rPr>
      </w:pPr>
    </w:p>
    <w:p w14:paraId="36D49519" w14:textId="77777777" w:rsidR="00BE550E" w:rsidRPr="00227DAB" w:rsidRDefault="00BE550E" w:rsidP="00BE550E">
      <w:pPr>
        <w:pStyle w:val="BasicParagraph"/>
        <w:rPr>
          <w:sz w:val="22"/>
          <w:szCs w:val="22"/>
        </w:rPr>
      </w:pPr>
      <w:r w:rsidRPr="00D67D76">
        <w:rPr>
          <w:rFonts w:cs="Arial"/>
          <w:noProof/>
        </w:rPr>
        <mc:AlternateContent>
          <mc:Choice Requires="wps">
            <w:drawing>
              <wp:anchor distT="0" distB="0" distL="114300" distR="114300" simplePos="0" relativeHeight="251658242" behindDoc="0" locked="0" layoutInCell="1" allowOverlap="1" wp14:anchorId="52F2B395" wp14:editId="43E04CF2">
                <wp:simplePos x="0" y="0"/>
                <wp:positionH relativeFrom="column">
                  <wp:posOffset>230029</wp:posOffset>
                </wp:positionH>
                <wp:positionV relativeFrom="paragraph">
                  <wp:posOffset>2180272</wp:posOffset>
                </wp:positionV>
                <wp:extent cx="3093244" cy="6807993"/>
                <wp:effectExtent l="0" t="0" r="12065"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3093244" cy="6807993"/>
                        </a:xfrm>
                        <a:prstGeom prst="rect">
                          <a:avLst/>
                        </a:prstGeom>
                        <a:noFill/>
                        <a:ln w="6350">
                          <a:noFill/>
                        </a:ln>
                      </wps:spPr>
                      <wps:txbx>
                        <w:txbxContent>
                          <w:p w14:paraId="5C15A11A" w14:textId="77777777" w:rsidR="00BE550E" w:rsidRPr="009853E5" w:rsidRDefault="00BE550E" w:rsidP="00BE550E">
                            <w:pPr>
                              <w:pStyle w:val="Atchison-Contactdetails"/>
                              <w:rPr>
                                <w:color w:val="92F105"/>
                              </w:rPr>
                            </w:pPr>
                            <w:r w:rsidRPr="009853E5">
                              <w:rPr>
                                <w:color w:val="92F105"/>
                              </w:rPr>
                              <w:t>Atchison Consultants</w:t>
                            </w:r>
                            <w:r w:rsidRPr="009853E5">
                              <w:rPr>
                                <w:color w:val="92F105"/>
                              </w:rPr>
                              <w:br/>
                            </w:r>
                            <w:r w:rsidRPr="009853E5">
                              <w:t xml:space="preserve">Level 4, 125 Flinders Lane, </w:t>
                            </w:r>
                            <w:r w:rsidRPr="009853E5">
                              <w:br/>
                              <w:t>Melbourne Vic 3000</w:t>
                            </w:r>
                          </w:p>
                          <w:p w14:paraId="44D23E75" w14:textId="77777777" w:rsidR="00BE550E" w:rsidRPr="009853E5" w:rsidRDefault="00BE550E" w:rsidP="00BE550E">
                            <w:pPr>
                              <w:pStyle w:val="Atchison-Contactdetails"/>
                            </w:pPr>
                            <w:r w:rsidRPr="009853E5">
                              <w:t xml:space="preserve">P: +61 (0) 3 9642 3835 </w:t>
                            </w:r>
                            <w:r w:rsidRPr="009853E5">
                              <w:br/>
                              <w:t xml:space="preserve">enquiries@atchison.com.au       </w:t>
                            </w:r>
                            <w:r w:rsidRPr="009853E5">
                              <w:br/>
                            </w:r>
                            <w:hyperlink r:id="rId16" w:history="1">
                              <w:r w:rsidRPr="00705738">
                                <w:rPr>
                                  <w:rStyle w:val="Hyperlink"/>
                                  <w:bCs w:val="0"/>
                                  <w:color w:val="92D050"/>
                                </w:rPr>
                                <w:t xml:space="preserve">www.atchison.com.au </w:t>
                              </w:r>
                              <w:r w:rsidRPr="009853E5">
                                <w:rPr>
                                  <w:rStyle w:val="Hyperlink"/>
                                  <w:bCs w:val="0"/>
                                </w:rPr>
                                <w:t xml:space="preserve">   </w:t>
                              </w:r>
                            </w:hyperlink>
                            <w:r w:rsidRPr="009853E5">
                              <w:t xml:space="preserve"> </w:t>
                            </w:r>
                          </w:p>
                          <w:p w14:paraId="50B2EA71" w14:textId="77777777" w:rsidR="00BE550E" w:rsidRDefault="00BE550E" w:rsidP="00BE550E">
                            <w:pPr>
                              <w:pStyle w:val="Atchison-Contactdetails"/>
                            </w:pPr>
                            <w:r w:rsidRPr="009853E5">
                              <w:t xml:space="preserve">ABN: 58 097 703 047 </w:t>
                            </w:r>
                            <w:r w:rsidRPr="009853E5">
                              <w:br/>
                              <w:t>AFSL Number: 230846</w:t>
                            </w:r>
                          </w:p>
                          <w:p w14:paraId="7AD8C604" w14:textId="77777777" w:rsidR="00BE550E" w:rsidRPr="009853E5" w:rsidRDefault="00BE550E" w:rsidP="00BE550E">
                            <w:pPr>
                              <w:pStyle w:val="Atchison-Contactdetails"/>
                            </w:pPr>
                            <w:r w:rsidRPr="009853E5">
                              <w:t xml:space="preserve">To obtain further information, </w:t>
                            </w:r>
                            <w:r w:rsidRPr="009853E5">
                              <w:br/>
                              <w:t xml:space="preserve">please contact: </w:t>
                            </w:r>
                          </w:p>
                          <w:p w14:paraId="693186E7" w14:textId="77777777" w:rsidR="00BE550E" w:rsidRDefault="00BE550E" w:rsidP="00BE550E">
                            <w:pPr>
                              <w:pStyle w:val="Atchison-Contactdetails"/>
                              <w:rPr>
                                <w:b/>
                                <w:bCs w:val="0"/>
                                <w:i/>
                                <w:iCs/>
                                <w:color w:val="92F105"/>
                              </w:rPr>
                            </w:pPr>
                          </w:p>
                          <w:p w14:paraId="2C114B13" w14:textId="77777777" w:rsidR="00BE550E" w:rsidRDefault="00BE550E" w:rsidP="00BE550E">
                            <w:pPr>
                              <w:pStyle w:val="Atchison-Contactdetails"/>
                            </w:pPr>
                            <w:r>
                              <w:rPr>
                                <w:b/>
                                <w:bCs w:val="0"/>
                                <w:i/>
                                <w:iCs/>
                                <w:color w:val="92F105"/>
                              </w:rPr>
                              <w:t>Kev Toohey</w:t>
                            </w:r>
                            <w:r>
                              <w:br/>
                            </w:r>
                            <w:r w:rsidRPr="009853E5">
                              <w:rPr>
                                <w:i/>
                                <w:iCs/>
                              </w:rPr>
                              <w:t>Principal</w:t>
                            </w:r>
                            <w:r w:rsidRPr="009853E5">
                              <w:br/>
                              <w:t>P: +61 3 9642 3835</w:t>
                            </w:r>
                          </w:p>
                          <w:p w14:paraId="2E79D4BF" w14:textId="77777777" w:rsidR="00BE550E" w:rsidRDefault="00BE550E" w:rsidP="00BE550E">
                            <w:pPr>
                              <w:pStyle w:val="Atchison-Contactdetails"/>
                              <w:rPr>
                                <w:rStyle w:val="Hyperlink"/>
                                <w:color w:val="92D050"/>
                              </w:rPr>
                            </w:pPr>
                            <w:r w:rsidRPr="00A2189C">
                              <w:rPr>
                                <w:color w:val="E8E8E8" w:themeColor="background2"/>
                              </w:rPr>
                              <w:t>E</w:t>
                            </w:r>
                            <w:r w:rsidRPr="00A2189C">
                              <w:rPr>
                                <w:color w:val="92D050"/>
                              </w:rPr>
                              <w:t xml:space="preserve">: </w:t>
                            </w:r>
                            <w:hyperlink r:id="rId17" w:history="1">
                              <w:r w:rsidRPr="002920E4">
                                <w:rPr>
                                  <w:rStyle w:val="Hyperlink"/>
                                </w:rPr>
                                <w:t>kev@atchison.com.au</w:t>
                              </w:r>
                            </w:hyperlink>
                          </w:p>
                          <w:p w14:paraId="12E369BF" w14:textId="77777777" w:rsidR="00BE550E" w:rsidRDefault="00BE550E" w:rsidP="00BE550E">
                            <w:pPr>
                              <w:pStyle w:val="Atchison-Contactdetails"/>
                              <w:rPr>
                                <w:rStyle w:val="Hyperlink"/>
                                <w:color w:val="92D050"/>
                              </w:rPr>
                            </w:pPr>
                          </w:p>
                          <w:p w14:paraId="395C8D5E" w14:textId="77777777" w:rsidR="00BE550E" w:rsidRDefault="00BE550E" w:rsidP="00BE550E">
                            <w:pPr>
                              <w:pStyle w:val="Atchison-Contactdetails"/>
                              <w:rPr>
                                <w:rStyle w:val="Hyperlink"/>
                              </w:rPr>
                            </w:pPr>
                            <w:r>
                              <w:rPr>
                                <w:b/>
                                <w:bCs w:val="0"/>
                                <w:i/>
                                <w:iCs/>
                                <w:color w:val="92F105"/>
                              </w:rPr>
                              <w:t>Nick Hatzis</w:t>
                            </w:r>
                          </w:p>
                          <w:p w14:paraId="2EA825D8" w14:textId="77777777" w:rsidR="00BE550E" w:rsidRDefault="00BE550E" w:rsidP="00BE550E">
                            <w:pPr>
                              <w:pStyle w:val="Atchison-Contactdetails"/>
                            </w:pPr>
                            <w:r>
                              <w:rPr>
                                <w:i/>
                                <w:iCs/>
                              </w:rPr>
                              <w:t>Analyst</w:t>
                            </w:r>
                            <w:r w:rsidRPr="009853E5">
                              <w:br/>
                              <w:t xml:space="preserve">P: +61  </w:t>
                            </w:r>
                            <w:r>
                              <w:t>433 717 504</w:t>
                            </w:r>
                          </w:p>
                          <w:p w14:paraId="03C08905" w14:textId="77777777" w:rsidR="00BE550E" w:rsidRDefault="00BE550E" w:rsidP="00BE550E">
                            <w:pPr>
                              <w:pStyle w:val="Atchison-Contactdetails"/>
                              <w:rPr>
                                <w:rStyle w:val="Hyperlink"/>
                                <w:color w:val="92D050"/>
                              </w:rPr>
                            </w:pPr>
                            <w:r w:rsidRPr="00A2189C">
                              <w:rPr>
                                <w:color w:val="E8E8E8" w:themeColor="background2"/>
                              </w:rPr>
                              <w:t>E</w:t>
                            </w:r>
                            <w:r w:rsidRPr="00A2189C">
                              <w:rPr>
                                <w:color w:val="92D050"/>
                              </w:rPr>
                              <w:t xml:space="preserve">: </w:t>
                            </w:r>
                            <w:hyperlink r:id="rId18" w:history="1">
                              <w:r w:rsidRPr="002920E4">
                                <w:rPr>
                                  <w:rStyle w:val="Hyperlink"/>
                                </w:rPr>
                                <w:t>nick@atchison.com.au</w:t>
                              </w:r>
                            </w:hyperlink>
                          </w:p>
                          <w:p w14:paraId="0C55251D" w14:textId="77777777" w:rsidR="00BE550E" w:rsidRDefault="00BE550E" w:rsidP="00BE550E">
                            <w:pPr>
                              <w:pStyle w:val="Atchison-Contactdetails"/>
                              <w:rPr>
                                <w:rStyle w:val="Hyperlink"/>
                              </w:rPr>
                            </w:pPr>
                          </w:p>
                          <w:p w14:paraId="397D8807" w14:textId="77777777" w:rsidR="00BE550E" w:rsidRDefault="00BE550E" w:rsidP="00BE550E">
                            <w:pPr>
                              <w:pStyle w:val="Atchison-Contactdetails"/>
                              <w:rPr>
                                <w:rStyle w:val="Hyperlink"/>
                              </w:rPr>
                            </w:pPr>
                          </w:p>
                          <w:p w14:paraId="1FD83AC1" w14:textId="77777777" w:rsidR="00BE550E" w:rsidRPr="009853E5" w:rsidRDefault="00BE550E" w:rsidP="00BE550E">
                            <w:pPr>
                              <w:pStyle w:val="Atchison-Contactdetails"/>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2F2B395" id="_x0000_t202" coordsize="21600,21600" o:spt="202" path="m,l,21600r21600,l21600,xe">
                <v:stroke joinstyle="miter"/>
                <v:path gradientshapeok="t" o:connecttype="rect"/>
              </v:shapetype>
              <v:shape id="Text Box 2" o:spid="_x0000_s1026" type="#_x0000_t202" style="position:absolute;margin-left:18.1pt;margin-top:171.65pt;width:243.55pt;height:536.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" filled="f" stroked="f" strokeweight=".5pt">
                <v:textbox inset="0,0,0,0">
                  <w:txbxContent>
                    <w:p w14:paraId="5C15A11A" w14:textId="77777777" w:rsidR="00BE550E" w:rsidRPr="009853E5" w:rsidRDefault="00BE550E" w:rsidP="00BE550E">
                      <w:pPr>
                        <w:pStyle w:val="Atchison-Contactdetails"/>
                        <w:rPr>
                          <w:color w:val="92F105"/>
                        </w:rPr>
                      </w:pPr>
                      <w:r w:rsidRPr="009853E5">
                        <w:rPr>
                          <w:color w:val="92F105"/>
                        </w:rPr>
                        <w:t>Atchison Consultants</w:t>
                      </w:r>
                      <w:r w:rsidRPr="009853E5">
                        <w:rPr>
                          <w:color w:val="92F105"/>
                        </w:rPr>
                        <w:br/>
                      </w:r>
                      <w:r w:rsidRPr="009853E5">
                        <w:t xml:space="preserve">Level 4, 125 Flinders Lane, </w:t>
                      </w:r>
                      <w:r w:rsidRPr="009853E5">
                        <w:br/>
                        <w:t>Melbourne Vic 3000</w:t>
                      </w:r>
                    </w:p>
                    <w:p w14:paraId="44D23E75" w14:textId="77777777" w:rsidR="00BE550E" w:rsidRPr="009853E5" w:rsidRDefault="00BE550E" w:rsidP="00BE550E">
                      <w:pPr>
                        <w:pStyle w:val="Atchison-Contactdetails"/>
                      </w:pPr>
                      <w:r w:rsidRPr="009853E5">
                        <w:t xml:space="preserve">P: +61 (0) 3 9642 3835 </w:t>
                      </w:r>
                      <w:r w:rsidRPr="009853E5">
                        <w:br/>
                        <w:t xml:space="preserve">enquiries@atchison.com.au       </w:t>
                      </w:r>
                      <w:r w:rsidRPr="009853E5">
                        <w:br/>
                      </w:r>
                      <w:hyperlink r:id="rId19" w:history="1">
                        <w:r w:rsidRPr="00705738">
                          <w:rPr>
                            <w:rStyle w:val="Hyperlink"/>
                            <w:bCs w:val="0"/>
                            <w:color w:val="92D050"/>
                          </w:rPr>
                          <w:t xml:space="preserve">www.atchison.com.au </w:t>
                        </w:r>
                        <w:r w:rsidRPr="009853E5">
                          <w:rPr>
                            <w:rStyle w:val="Hyperlink"/>
                            <w:bCs w:val="0"/>
                          </w:rPr>
                          <w:t xml:space="preserve">   </w:t>
                        </w:r>
                      </w:hyperlink>
                      <w:r w:rsidRPr="009853E5">
                        <w:t xml:space="preserve"> </w:t>
                      </w:r>
                    </w:p>
                    <w:p w14:paraId="50B2EA71" w14:textId="77777777" w:rsidR="00BE550E" w:rsidRDefault="00BE550E" w:rsidP="00BE550E">
                      <w:pPr>
                        <w:pStyle w:val="Atchison-Contactdetails"/>
                      </w:pPr>
                      <w:r w:rsidRPr="009853E5">
                        <w:t xml:space="preserve">ABN: 58 097 703 047 </w:t>
                      </w:r>
                      <w:r w:rsidRPr="009853E5">
                        <w:br/>
                        <w:t>AFSL Number: 230846</w:t>
                      </w:r>
                    </w:p>
                    <w:p w14:paraId="7AD8C604" w14:textId="77777777" w:rsidR="00BE550E" w:rsidRPr="009853E5" w:rsidRDefault="00BE550E" w:rsidP="00BE550E">
                      <w:pPr>
                        <w:pStyle w:val="Atchison-Contactdetails"/>
                      </w:pPr>
                      <w:r w:rsidRPr="009853E5">
                        <w:t xml:space="preserve">To obtain further information, </w:t>
                      </w:r>
                      <w:r w:rsidRPr="009853E5">
                        <w:br/>
                        <w:t xml:space="preserve">please contact: </w:t>
                      </w:r>
                    </w:p>
                    <w:p w14:paraId="693186E7" w14:textId="77777777" w:rsidR="00BE550E" w:rsidRDefault="00BE550E" w:rsidP="00BE550E">
                      <w:pPr>
                        <w:pStyle w:val="Atchison-Contactdetails"/>
                        <w:rPr>
                          <w:b/>
                          <w:bCs w:val="0"/>
                          <w:i/>
                          <w:iCs/>
                          <w:color w:val="92F105"/>
                        </w:rPr>
                      </w:pPr>
                    </w:p>
                    <w:p w14:paraId="2C114B13" w14:textId="77777777" w:rsidR="00BE550E" w:rsidRDefault="00BE550E" w:rsidP="00BE550E">
                      <w:pPr>
                        <w:pStyle w:val="Atchison-Contactdetails"/>
                      </w:pPr>
                      <w:r>
                        <w:rPr>
                          <w:b/>
                          <w:bCs w:val="0"/>
                          <w:i/>
                          <w:iCs/>
                          <w:color w:val="92F105"/>
                        </w:rPr>
                        <w:t>Kev Toohey</w:t>
                      </w:r>
                      <w:r>
                        <w:br/>
                      </w:r>
                      <w:r w:rsidRPr="009853E5">
                        <w:rPr>
                          <w:i/>
                          <w:iCs/>
                        </w:rPr>
                        <w:t>Principal</w:t>
                      </w:r>
                      <w:r w:rsidRPr="009853E5">
                        <w:br/>
                        <w:t>P: +61 3 9642 3835</w:t>
                      </w:r>
                    </w:p>
                    <w:p w14:paraId="2E79D4BF" w14:textId="77777777" w:rsidR="00BE550E" w:rsidRDefault="00BE550E" w:rsidP="00BE550E">
                      <w:pPr>
                        <w:pStyle w:val="Atchison-Contactdetails"/>
                        <w:rPr>
                          <w:rStyle w:val="Hyperlink"/>
                          <w:color w:val="92D050"/>
                        </w:rPr>
                      </w:pPr>
                      <w:r w:rsidRPr="00A2189C">
                        <w:rPr>
                          <w:color w:val="E8E8E8" w:themeColor="background2"/>
                        </w:rPr>
                        <w:t>E</w:t>
                      </w:r>
                      <w:r w:rsidRPr="00A2189C">
                        <w:rPr>
                          <w:color w:val="92D050"/>
                        </w:rPr>
                        <w:t xml:space="preserve">: </w:t>
                      </w:r>
                      <w:hyperlink r:id="rId20" w:history="1">
                        <w:r w:rsidRPr="002920E4">
                          <w:rPr>
                            <w:rStyle w:val="Hyperlink"/>
                          </w:rPr>
                          <w:t>kev@atchison.com.au</w:t>
                        </w:r>
                      </w:hyperlink>
                    </w:p>
                    <w:p w14:paraId="12E369BF" w14:textId="77777777" w:rsidR="00BE550E" w:rsidRDefault="00BE550E" w:rsidP="00BE550E">
                      <w:pPr>
                        <w:pStyle w:val="Atchison-Contactdetails"/>
                        <w:rPr>
                          <w:rStyle w:val="Hyperlink"/>
                          <w:color w:val="92D050"/>
                        </w:rPr>
                      </w:pPr>
                    </w:p>
                    <w:p w14:paraId="395C8D5E" w14:textId="77777777" w:rsidR="00BE550E" w:rsidRDefault="00BE550E" w:rsidP="00BE550E">
                      <w:pPr>
                        <w:pStyle w:val="Atchison-Contactdetails"/>
                        <w:rPr>
                          <w:rStyle w:val="Hyperlink"/>
                        </w:rPr>
                      </w:pPr>
                      <w:r>
                        <w:rPr>
                          <w:b/>
                          <w:bCs w:val="0"/>
                          <w:i/>
                          <w:iCs/>
                          <w:color w:val="92F105"/>
                        </w:rPr>
                        <w:t>Nick Hatzis</w:t>
                      </w:r>
                    </w:p>
                    <w:p w14:paraId="2EA825D8" w14:textId="77777777" w:rsidR="00BE550E" w:rsidRDefault="00BE550E" w:rsidP="00BE550E">
                      <w:pPr>
                        <w:pStyle w:val="Atchison-Contactdetails"/>
                      </w:pPr>
                      <w:r>
                        <w:rPr>
                          <w:i/>
                          <w:iCs/>
                        </w:rPr>
                        <w:t>Analyst</w:t>
                      </w:r>
                      <w:r w:rsidRPr="009853E5">
                        <w:br/>
                        <w:t xml:space="preserve">P: +61  </w:t>
                      </w:r>
                      <w:r>
                        <w:t>433 717 504</w:t>
                      </w:r>
                    </w:p>
                    <w:p w14:paraId="03C08905" w14:textId="77777777" w:rsidR="00BE550E" w:rsidRDefault="00BE550E" w:rsidP="00BE550E">
                      <w:pPr>
                        <w:pStyle w:val="Atchison-Contactdetails"/>
                        <w:rPr>
                          <w:rStyle w:val="Hyperlink"/>
                          <w:color w:val="92D050"/>
                        </w:rPr>
                      </w:pPr>
                      <w:r w:rsidRPr="00A2189C">
                        <w:rPr>
                          <w:color w:val="E8E8E8" w:themeColor="background2"/>
                        </w:rPr>
                        <w:t>E</w:t>
                      </w:r>
                      <w:r w:rsidRPr="00A2189C">
                        <w:rPr>
                          <w:color w:val="92D050"/>
                        </w:rPr>
                        <w:t xml:space="preserve">: </w:t>
                      </w:r>
                      <w:hyperlink r:id="rId21" w:history="1">
                        <w:r w:rsidRPr="002920E4">
                          <w:rPr>
                            <w:rStyle w:val="Hyperlink"/>
                          </w:rPr>
                          <w:t>nick@atchison.com.au</w:t>
                        </w:r>
                      </w:hyperlink>
                    </w:p>
                    <w:p w14:paraId="0C55251D" w14:textId="77777777" w:rsidR="00BE550E" w:rsidRDefault="00BE550E" w:rsidP="00BE550E">
                      <w:pPr>
                        <w:pStyle w:val="Atchison-Contactdetails"/>
                        <w:rPr>
                          <w:rStyle w:val="Hyperlink"/>
                        </w:rPr>
                      </w:pPr>
                    </w:p>
                    <w:p w14:paraId="397D8807" w14:textId="77777777" w:rsidR="00BE550E" w:rsidRDefault="00BE550E" w:rsidP="00BE550E">
                      <w:pPr>
                        <w:pStyle w:val="Atchison-Contactdetails"/>
                        <w:rPr>
                          <w:rStyle w:val="Hyperlink"/>
                        </w:rPr>
                      </w:pPr>
                    </w:p>
                    <w:p w14:paraId="1FD83AC1" w14:textId="77777777" w:rsidR="00BE550E" w:rsidRPr="009853E5" w:rsidRDefault="00BE550E" w:rsidP="00BE550E">
                      <w:pPr>
                        <w:pStyle w:val="Atchison-Contactdetails"/>
                      </w:pPr>
                    </w:p>
                  </w:txbxContent>
                </v:textbox>
              </v:shape>
            </w:pict>
          </mc:Fallback>
        </mc:AlternateContent>
      </w:r>
    </w:p>
    <w:p w14:paraId="1468B7D3" w14:textId="77777777" w:rsidR="00BE550E" w:rsidRPr="009A7328" w:rsidRDefault="00BE550E" w:rsidP="00BE550E">
      <w:pPr>
        <w:autoSpaceDE w:val="0"/>
        <w:autoSpaceDN w:val="0"/>
        <w:adjustRightInd w:val="0"/>
        <w:spacing w:after="100" w:line="276" w:lineRule="auto"/>
        <w:textAlignment w:val="center"/>
        <w:rPr>
          <w:rStyle w:val="normaltextrun"/>
          <w:rFonts w:ascii="Arial" w:eastAsia="Arial" w:hAnsi="Arial" w:cs="Minion Pro"/>
          <w:color w:val="64777E"/>
          <w:kern w:val="0"/>
          <w:sz w:val="18"/>
          <w:szCs w:val="18"/>
          <w:lang w:val="en-US"/>
          <w14:ligatures w14:val="none"/>
        </w:rPr>
      </w:pPr>
    </w:p>
    <w:p w14:paraId="41F9AD08" w14:textId="77777777" w:rsidR="00183A58" w:rsidRDefault="00183A58"/>
    <w:sectPr w:rsidR="00183A58">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7D0220" w14:textId="77777777" w:rsidR="00925B91" w:rsidRDefault="00925B91" w:rsidP="00650784">
      <w:pPr>
        <w:spacing w:after="0" w:line="240" w:lineRule="auto"/>
      </w:pPr>
      <w:r>
        <w:separator/>
      </w:r>
    </w:p>
  </w:endnote>
  <w:endnote w:type="continuationSeparator" w:id="0">
    <w:p w14:paraId="51A57BF0" w14:textId="77777777" w:rsidR="00925B91" w:rsidRDefault="00925B91" w:rsidP="00650784">
      <w:pPr>
        <w:spacing w:after="0" w:line="240" w:lineRule="auto"/>
      </w:pPr>
      <w:r>
        <w:continuationSeparator/>
      </w:r>
    </w:p>
  </w:endnote>
  <w:endnote w:type="continuationNotice" w:id="1">
    <w:p w14:paraId="4624E2DF" w14:textId="77777777" w:rsidR="00925B91" w:rsidRDefault="00925B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inion Pro">
    <w:altName w:val="Calibri"/>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Century Gothic Pro">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477A2" w14:textId="77777777" w:rsidR="00650784" w:rsidRDefault="00650784" w:rsidP="00650784">
    <w:pPr>
      <w:pStyle w:val="Footer"/>
    </w:pPr>
    <w:r>
      <w:rPr>
        <w:rStyle w:val="wacimagecontainer"/>
        <w:rFonts w:ascii="Segoe UI" w:hAnsi="Segoe UI" w:cs="Segoe UI"/>
        <w:noProof/>
        <w:color w:val="4A585E"/>
        <w:sz w:val="12"/>
        <w:szCs w:val="12"/>
      </w:rPr>
      <w:drawing>
        <wp:inline distT="0" distB="0" distL="0" distR="0" wp14:anchorId="0D6E765E" wp14:editId="61BFB901">
          <wp:extent cx="1595120" cy="520700"/>
          <wp:effectExtent l="0" t="0" r="0" b="0"/>
          <wp:docPr id="14" name="Picture 12"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t Bo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5120" cy="520700"/>
                  </a:xfrm>
                  <a:prstGeom prst="rect">
                    <a:avLst/>
                  </a:prstGeom>
                  <a:noFill/>
                  <a:ln>
                    <a:noFill/>
                  </a:ln>
                </pic:spPr>
              </pic:pic>
            </a:graphicData>
          </a:graphic>
        </wp:inline>
      </w:drawing>
    </w:r>
    <w:r>
      <w:rPr>
        <w:rStyle w:val="wacimagecontainer"/>
        <w:rFonts w:ascii="Segoe UI" w:hAnsi="Segoe UI" w:cs="Segoe UI"/>
        <w:noProof/>
        <w:color w:val="4A585E"/>
        <w:sz w:val="12"/>
        <w:szCs w:val="12"/>
        <w:shd w:val="clear" w:color="auto" w:fill="FFFFFF"/>
      </w:rPr>
      <w:drawing>
        <wp:inline distT="0" distB="0" distL="0" distR="0" wp14:anchorId="132958CC" wp14:editId="34404022">
          <wp:extent cx="1595120" cy="520700"/>
          <wp:effectExtent l="0" t="0" r="0" b="0"/>
          <wp:docPr id="15" name="Picture 11"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xt Box"/>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5120" cy="520700"/>
                  </a:xfrm>
                  <a:prstGeom prst="rect">
                    <a:avLst/>
                  </a:prstGeom>
                  <a:noFill/>
                  <a:ln>
                    <a:noFill/>
                  </a:ln>
                </pic:spPr>
              </pic:pic>
            </a:graphicData>
          </a:graphic>
        </wp:inline>
      </w:drawing>
    </w:r>
    <w:r>
      <w:rPr>
        <w:rStyle w:val="wacimagecontainer"/>
        <w:rFonts w:ascii="Segoe UI" w:hAnsi="Segoe UI" w:cs="Segoe UI"/>
        <w:noProof/>
        <w:color w:val="4A585E"/>
        <w:sz w:val="12"/>
        <w:szCs w:val="12"/>
        <w:shd w:val="clear" w:color="auto" w:fill="FFFFFF"/>
      </w:rPr>
      <w:drawing>
        <wp:inline distT="0" distB="0" distL="0" distR="0" wp14:anchorId="1FE930C5" wp14:editId="5000B5EE">
          <wp:extent cx="1595120" cy="520700"/>
          <wp:effectExtent l="0" t="0" r="0" b="0"/>
          <wp:docPr id="16" name="Picture 10"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t Bo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95120" cy="520700"/>
                  </a:xfrm>
                  <a:prstGeom prst="rect">
                    <a:avLst/>
                  </a:prstGeom>
                  <a:noFill/>
                  <a:ln>
                    <a:noFill/>
                  </a:ln>
                </pic:spPr>
              </pic:pic>
            </a:graphicData>
          </a:graphic>
        </wp:inline>
      </w:drawing>
    </w:r>
    <w:r>
      <w:rPr>
        <w:rStyle w:val="wacimagecontainer"/>
        <w:rFonts w:ascii="Segoe UI" w:hAnsi="Segoe UI" w:cs="Segoe UI"/>
        <w:noProof/>
        <w:color w:val="4A585E"/>
        <w:sz w:val="12"/>
        <w:szCs w:val="12"/>
        <w:shd w:val="clear" w:color="auto" w:fill="FFFFFF"/>
      </w:rPr>
      <w:drawing>
        <wp:inline distT="0" distB="0" distL="0" distR="0" wp14:anchorId="4650466C" wp14:editId="10AA8AB5">
          <wp:extent cx="10795" cy="10795"/>
          <wp:effectExtent l="0" t="0" r="0" b="0"/>
          <wp:docPr id="17" name="Picture 9"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14ED1CD0" w14:textId="77777777" w:rsidR="00650784" w:rsidRDefault="00650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2EDE78" w14:textId="77777777" w:rsidR="00925B91" w:rsidRDefault="00925B91" w:rsidP="00650784">
      <w:pPr>
        <w:spacing w:after="0" w:line="240" w:lineRule="auto"/>
      </w:pPr>
      <w:r>
        <w:separator/>
      </w:r>
    </w:p>
  </w:footnote>
  <w:footnote w:type="continuationSeparator" w:id="0">
    <w:p w14:paraId="4F68D627" w14:textId="77777777" w:rsidR="00925B91" w:rsidRDefault="00925B91" w:rsidP="00650784">
      <w:pPr>
        <w:spacing w:after="0" w:line="240" w:lineRule="auto"/>
      </w:pPr>
      <w:r>
        <w:continuationSeparator/>
      </w:r>
    </w:p>
  </w:footnote>
  <w:footnote w:type="continuationNotice" w:id="1">
    <w:p w14:paraId="20EDCA43" w14:textId="77777777" w:rsidR="00925B91" w:rsidRDefault="00925B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D3A68" w14:textId="2C445447" w:rsidR="00650784" w:rsidRDefault="00650784">
    <w:pPr>
      <w:pStyle w:val="Header"/>
      <w:pBdr>
        <w:bottom w:val="single" w:sz="12" w:space="1" w:color="auto"/>
      </w:pBdr>
    </w:pPr>
  </w:p>
  <w:p w14:paraId="1A2583F7" w14:textId="77777777" w:rsidR="00650784" w:rsidRDefault="006507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D2C97"/>
    <w:multiLevelType w:val="hybridMultilevel"/>
    <w:tmpl w:val="3CAE4950"/>
    <w:lvl w:ilvl="0" w:tplc="D298C35E">
      <w:start w:val="1"/>
      <w:numFmt w:val="bullet"/>
      <w:lvlText w:val=""/>
      <w:lvlJc w:val="left"/>
      <w:pPr>
        <w:ind w:left="720" w:hanging="360"/>
      </w:pPr>
      <w:rPr>
        <w:rFonts w:ascii="Symbol" w:hAnsi="Symbol" w:hint="default"/>
        <w:color w:val="79BB42"/>
        <w:sz w:val="16"/>
        <w:u w:color="8A999D"/>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5D42B92"/>
    <w:multiLevelType w:val="hybridMultilevel"/>
    <w:tmpl w:val="E9DC2D96"/>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8D72999"/>
    <w:multiLevelType w:val="hybridMultilevel"/>
    <w:tmpl w:val="3ED03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12901539">
    <w:abstractNumId w:val="1"/>
  </w:num>
  <w:num w:numId="2" w16cid:durableId="287973541">
    <w:abstractNumId w:val="0"/>
  </w:num>
  <w:num w:numId="3" w16cid:durableId="2023432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BE550E"/>
    <w:rsid w:val="00083A9C"/>
    <w:rsid w:val="000A7203"/>
    <w:rsid w:val="000C4D8A"/>
    <w:rsid w:val="000D7761"/>
    <w:rsid w:val="000F420F"/>
    <w:rsid w:val="000F6F88"/>
    <w:rsid w:val="00157140"/>
    <w:rsid w:val="00182445"/>
    <w:rsid w:val="00183A58"/>
    <w:rsid w:val="001B20FD"/>
    <w:rsid w:val="002930CE"/>
    <w:rsid w:val="002F69CC"/>
    <w:rsid w:val="00387044"/>
    <w:rsid w:val="00391B6C"/>
    <w:rsid w:val="00393644"/>
    <w:rsid w:val="003D0C5E"/>
    <w:rsid w:val="003D44F3"/>
    <w:rsid w:val="004018E2"/>
    <w:rsid w:val="00420591"/>
    <w:rsid w:val="00432F28"/>
    <w:rsid w:val="0046106A"/>
    <w:rsid w:val="004E6F83"/>
    <w:rsid w:val="00520E46"/>
    <w:rsid w:val="005C421C"/>
    <w:rsid w:val="005C5D3A"/>
    <w:rsid w:val="005D2F2E"/>
    <w:rsid w:val="006238FD"/>
    <w:rsid w:val="006248C1"/>
    <w:rsid w:val="00644CD3"/>
    <w:rsid w:val="00650784"/>
    <w:rsid w:val="0067537F"/>
    <w:rsid w:val="00682AC9"/>
    <w:rsid w:val="006835F7"/>
    <w:rsid w:val="006A2E4E"/>
    <w:rsid w:val="006D7D9A"/>
    <w:rsid w:val="006F6157"/>
    <w:rsid w:val="007006F9"/>
    <w:rsid w:val="007419F1"/>
    <w:rsid w:val="00753AEF"/>
    <w:rsid w:val="007B6B6C"/>
    <w:rsid w:val="007D6E08"/>
    <w:rsid w:val="007E74F1"/>
    <w:rsid w:val="007F4443"/>
    <w:rsid w:val="00873BC0"/>
    <w:rsid w:val="008F1B8E"/>
    <w:rsid w:val="009020F9"/>
    <w:rsid w:val="00925B91"/>
    <w:rsid w:val="009735E6"/>
    <w:rsid w:val="00A02AFA"/>
    <w:rsid w:val="00A76890"/>
    <w:rsid w:val="00B24685"/>
    <w:rsid w:val="00B4731A"/>
    <w:rsid w:val="00BA624E"/>
    <w:rsid w:val="00BD089E"/>
    <w:rsid w:val="00BD5AB4"/>
    <w:rsid w:val="00BE550E"/>
    <w:rsid w:val="00BF4A1F"/>
    <w:rsid w:val="00BF4C30"/>
    <w:rsid w:val="00C131D8"/>
    <w:rsid w:val="00C5554D"/>
    <w:rsid w:val="00CE35DC"/>
    <w:rsid w:val="00CE5D34"/>
    <w:rsid w:val="00CF513A"/>
    <w:rsid w:val="00D31EF0"/>
    <w:rsid w:val="00D33231"/>
    <w:rsid w:val="00D440DD"/>
    <w:rsid w:val="00D535B4"/>
    <w:rsid w:val="00DE3AF3"/>
    <w:rsid w:val="00E05374"/>
    <w:rsid w:val="00E141E9"/>
    <w:rsid w:val="00E275D4"/>
    <w:rsid w:val="00E41D70"/>
    <w:rsid w:val="00E47A3B"/>
    <w:rsid w:val="00E7696D"/>
    <w:rsid w:val="00ED0CCE"/>
    <w:rsid w:val="00F757EC"/>
    <w:rsid w:val="00F94C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9B466"/>
  <w15:chartTrackingRefBased/>
  <w15:docId w15:val="{DE7E76DE-518F-4B05-B4E1-16B758367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50E"/>
  </w:style>
  <w:style w:type="paragraph" w:styleId="Heading1">
    <w:name w:val="heading 1"/>
    <w:basedOn w:val="Normal"/>
    <w:next w:val="Normal"/>
    <w:link w:val="Heading1Char"/>
    <w:uiPriority w:val="9"/>
    <w:qFormat/>
    <w:rsid w:val="00BE5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5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5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5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5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5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5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5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5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5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55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5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5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5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50E"/>
    <w:rPr>
      <w:rFonts w:eastAsiaTheme="majorEastAsia" w:cstheme="majorBidi"/>
      <w:color w:val="272727" w:themeColor="text1" w:themeTint="D8"/>
    </w:rPr>
  </w:style>
  <w:style w:type="paragraph" w:styleId="Title">
    <w:name w:val="Title"/>
    <w:basedOn w:val="Normal"/>
    <w:next w:val="Normal"/>
    <w:link w:val="TitleChar"/>
    <w:uiPriority w:val="10"/>
    <w:qFormat/>
    <w:rsid w:val="00BE5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5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50E"/>
    <w:pPr>
      <w:spacing w:before="160"/>
      <w:jc w:val="center"/>
    </w:pPr>
    <w:rPr>
      <w:i/>
      <w:iCs/>
      <w:color w:val="404040" w:themeColor="text1" w:themeTint="BF"/>
    </w:rPr>
  </w:style>
  <w:style w:type="character" w:customStyle="1" w:styleId="QuoteChar">
    <w:name w:val="Quote Char"/>
    <w:basedOn w:val="DefaultParagraphFont"/>
    <w:link w:val="Quote"/>
    <w:uiPriority w:val="29"/>
    <w:rsid w:val="00BE550E"/>
    <w:rPr>
      <w:i/>
      <w:iCs/>
      <w:color w:val="404040" w:themeColor="text1" w:themeTint="BF"/>
    </w:rPr>
  </w:style>
  <w:style w:type="paragraph" w:styleId="ListParagraph">
    <w:name w:val="List Paragraph"/>
    <w:basedOn w:val="Normal"/>
    <w:uiPriority w:val="34"/>
    <w:qFormat/>
    <w:rsid w:val="00BE550E"/>
    <w:pPr>
      <w:ind w:left="720"/>
      <w:contextualSpacing/>
    </w:pPr>
  </w:style>
  <w:style w:type="character" w:styleId="IntenseEmphasis">
    <w:name w:val="Intense Emphasis"/>
    <w:basedOn w:val="DefaultParagraphFont"/>
    <w:uiPriority w:val="21"/>
    <w:qFormat/>
    <w:rsid w:val="00BE550E"/>
    <w:rPr>
      <w:i/>
      <w:iCs/>
      <w:color w:val="0F4761" w:themeColor="accent1" w:themeShade="BF"/>
    </w:rPr>
  </w:style>
  <w:style w:type="paragraph" w:styleId="IntenseQuote">
    <w:name w:val="Intense Quote"/>
    <w:basedOn w:val="Normal"/>
    <w:next w:val="Normal"/>
    <w:link w:val="IntenseQuoteChar"/>
    <w:uiPriority w:val="30"/>
    <w:qFormat/>
    <w:rsid w:val="00BE5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50E"/>
    <w:rPr>
      <w:i/>
      <w:iCs/>
      <w:color w:val="0F4761" w:themeColor="accent1" w:themeShade="BF"/>
    </w:rPr>
  </w:style>
  <w:style w:type="character" w:styleId="IntenseReference">
    <w:name w:val="Intense Reference"/>
    <w:basedOn w:val="DefaultParagraphFont"/>
    <w:uiPriority w:val="32"/>
    <w:qFormat/>
    <w:rsid w:val="00BE550E"/>
    <w:rPr>
      <w:b/>
      <w:bCs/>
      <w:smallCaps/>
      <w:color w:val="0F4761" w:themeColor="accent1" w:themeShade="BF"/>
      <w:spacing w:val="5"/>
    </w:rPr>
  </w:style>
  <w:style w:type="paragraph" w:customStyle="1" w:styleId="paragraph">
    <w:name w:val="paragraph"/>
    <w:basedOn w:val="Normal"/>
    <w:rsid w:val="00BE550E"/>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wacimagecontainer">
    <w:name w:val="wacimagecontainer"/>
    <w:basedOn w:val="DefaultParagraphFont"/>
    <w:rsid w:val="00BE550E"/>
  </w:style>
  <w:style w:type="character" w:customStyle="1" w:styleId="normaltextrun">
    <w:name w:val="normaltextrun"/>
    <w:basedOn w:val="DefaultParagraphFont"/>
    <w:rsid w:val="00BE550E"/>
  </w:style>
  <w:style w:type="character" w:customStyle="1" w:styleId="eop">
    <w:name w:val="eop"/>
    <w:basedOn w:val="DefaultParagraphFont"/>
    <w:rsid w:val="00BE550E"/>
  </w:style>
  <w:style w:type="character" w:customStyle="1" w:styleId="tabchar">
    <w:name w:val="tabchar"/>
    <w:basedOn w:val="DefaultParagraphFont"/>
    <w:rsid w:val="00BE550E"/>
  </w:style>
  <w:style w:type="character" w:styleId="Hyperlink">
    <w:name w:val="Hyperlink"/>
    <w:uiPriority w:val="99"/>
    <w:unhideWhenUsed/>
    <w:rsid w:val="00BE550E"/>
    <w:rPr>
      <w:color w:val="16A0C1"/>
      <w:u w:val="single"/>
    </w:rPr>
  </w:style>
  <w:style w:type="paragraph" w:customStyle="1" w:styleId="BasicParagraph">
    <w:name w:val="[Basic Paragraph]"/>
    <w:basedOn w:val="Normal"/>
    <w:uiPriority w:val="99"/>
    <w:rsid w:val="00BE550E"/>
    <w:pPr>
      <w:autoSpaceDE w:val="0"/>
      <w:autoSpaceDN w:val="0"/>
      <w:adjustRightInd w:val="0"/>
      <w:spacing w:after="100" w:line="240" w:lineRule="auto"/>
      <w:textAlignment w:val="center"/>
    </w:pPr>
    <w:rPr>
      <w:rFonts w:ascii="Arial" w:eastAsia="Arial" w:hAnsi="Arial" w:cs="Minion Pro"/>
      <w:color w:val="64777E"/>
      <w:kern w:val="0"/>
      <w:sz w:val="20"/>
      <w:lang w:val="en-US"/>
      <w14:ligatures w14:val="none"/>
    </w:rPr>
  </w:style>
  <w:style w:type="paragraph" w:customStyle="1" w:styleId="Atchison-Contactdetails">
    <w:name w:val="Atchison-Contact details"/>
    <w:rsid w:val="00BE550E"/>
    <w:pPr>
      <w:spacing w:after="120" w:line="276" w:lineRule="auto"/>
    </w:pPr>
    <w:rPr>
      <w:rFonts w:ascii="Arial" w:eastAsia="Arial" w:hAnsi="Arial" w:cs="Times New Roman"/>
      <w:bCs/>
      <w:color w:val="FFFFFF"/>
      <w:kern w:val="0"/>
      <w:sz w:val="18"/>
      <w:szCs w:val="22"/>
      <w:lang w:val="en-US"/>
      <w14:ligatures w14:val="none"/>
    </w:rPr>
  </w:style>
  <w:style w:type="paragraph" w:styleId="Header">
    <w:name w:val="header"/>
    <w:basedOn w:val="Normal"/>
    <w:link w:val="HeaderChar"/>
    <w:uiPriority w:val="99"/>
    <w:unhideWhenUsed/>
    <w:rsid w:val="006507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0784"/>
  </w:style>
  <w:style w:type="paragraph" w:styleId="Footer">
    <w:name w:val="footer"/>
    <w:basedOn w:val="Normal"/>
    <w:link w:val="FooterChar"/>
    <w:uiPriority w:val="99"/>
    <w:unhideWhenUsed/>
    <w:rsid w:val="006507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0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mailto:nick@atchison.com.au" TargetMode="External"/><Relationship Id="rId3" Type="http://schemas.openxmlformats.org/officeDocument/2006/relationships/customXml" Target="../customXml/item3.xml"/><Relationship Id="rId21" Type="http://schemas.openxmlformats.org/officeDocument/2006/relationships/hyperlink" Target="mailto:nick@atchison.com.au"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mailto:kev@atchison.com.au"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atchison.com.au/" TargetMode="External"/><Relationship Id="rId20" Type="http://schemas.openxmlformats.org/officeDocument/2006/relationships/hyperlink" Target="mailto:kev@atchison.com.a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www.atchison.com.a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3753EE-DE42-4083-8C12-14981B221488}">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1A9FA324-892C-48AB-91EE-B492222E8849}">
  <ds:schemaRefs>
    <ds:schemaRef ds:uri="http://schemas.microsoft.com/sharepoint/v3/contenttype/forms"/>
  </ds:schemaRefs>
</ds:datastoreItem>
</file>

<file path=customXml/itemProps3.xml><?xml version="1.0" encoding="utf-8"?>
<ds:datastoreItem xmlns:ds="http://schemas.openxmlformats.org/officeDocument/2006/customXml" ds:itemID="{CEE12F77-6B13-4C82-BED5-3A87A4F936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6</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Hatzis</dc:creator>
  <cp:keywords/>
  <dc:description/>
  <cp:lastModifiedBy>Nick Hatzis</cp:lastModifiedBy>
  <cp:revision>42</cp:revision>
  <dcterms:created xsi:type="dcterms:W3CDTF">2024-09-18T23:39:00Z</dcterms:created>
  <dcterms:modified xsi:type="dcterms:W3CDTF">2024-10-07T01:40:00Z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ies>
</file>